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33B" w:rsidRPr="00C42623" w:rsidRDefault="00FF333B" w:rsidP="00FF333B">
      <w:pPr>
        <w:keepLines/>
        <w:jc w:val="left"/>
        <w:rPr>
          <w:rStyle w:val="Enfasicorsivo"/>
          <w:b/>
          <w:u w:val="single"/>
        </w:rPr>
      </w:pPr>
      <w:r>
        <w:rPr>
          <w:rStyle w:val="Enfasicorsivo"/>
          <w:b/>
          <w:u w:val="single"/>
        </w:rPr>
        <w:t>Pubblicazioni</w:t>
      </w:r>
    </w:p>
    <w:p w:rsidR="00FF333B" w:rsidRPr="003112B6" w:rsidRDefault="00FF333B" w:rsidP="00FF333B">
      <w:pPr>
        <w:keepLines/>
        <w:jc w:val="left"/>
      </w:pPr>
      <w:r>
        <w:t xml:space="preserve">1) </w:t>
      </w:r>
      <w:r w:rsidRPr="003112B6">
        <w:t xml:space="preserve">E. MITZMAN, </w:t>
      </w:r>
      <w:r w:rsidRPr="003112B6">
        <w:rPr>
          <w:i/>
        </w:rPr>
        <w:t xml:space="preserve">The </w:t>
      </w:r>
      <w:proofErr w:type="spellStart"/>
      <w:r w:rsidRPr="003112B6">
        <w:rPr>
          <w:i/>
        </w:rPr>
        <w:t>financial</w:t>
      </w:r>
      <w:proofErr w:type="spellEnd"/>
      <w:r w:rsidRPr="003112B6">
        <w:rPr>
          <w:i/>
        </w:rPr>
        <w:t xml:space="preserve"> </w:t>
      </w:r>
      <w:proofErr w:type="spellStart"/>
      <w:r w:rsidRPr="003112B6">
        <w:rPr>
          <w:i/>
        </w:rPr>
        <w:t>crisis</w:t>
      </w:r>
      <w:proofErr w:type="spellEnd"/>
      <w:r w:rsidRPr="003112B6">
        <w:rPr>
          <w:i/>
        </w:rPr>
        <w:t xml:space="preserve"> and the global </w:t>
      </w:r>
      <w:proofErr w:type="spellStart"/>
      <w:r w:rsidRPr="003112B6">
        <w:rPr>
          <w:i/>
        </w:rPr>
        <w:t>regulatory</w:t>
      </w:r>
      <w:proofErr w:type="spellEnd"/>
      <w:r w:rsidRPr="003112B6">
        <w:rPr>
          <w:i/>
        </w:rPr>
        <w:t xml:space="preserve"> </w:t>
      </w:r>
      <w:proofErr w:type="spellStart"/>
      <w:r w:rsidRPr="003112B6">
        <w:rPr>
          <w:i/>
        </w:rPr>
        <w:t>governance</w:t>
      </w:r>
      <w:proofErr w:type="spellEnd"/>
      <w:r w:rsidRPr="003112B6">
        <w:t xml:space="preserve">, Segnalazione del sesto Global </w:t>
      </w:r>
      <w:proofErr w:type="spellStart"/>
      <w:r w:rsidRPr="003112B6">
        <w:t>Administrative</w:t>
      </w:r>
      <w:proofErr w:type="spellEnd"/>
      <w:r w:rsidRPr="003112B6">
        <w:t xml:space="preserve"> </w:t>
      </w:r>
      <w:proofErr w:type="spellStart"/>
      <w:r w:rsidRPr="003112B6">
        <w:t>Law</w:t>
      </w:r>
      <w:proofErr w:type="spellEnd"/>
      <w:r w:rsidRPr="003112B6">
        <w:t xml:space="preserve"> Seminar, in </w:t>
      </w:r>
      <w:r w:rsidRPr="002953F1">
        <w:rPr>
          <w:i/>
        </w:rPr>
        <w:t>Rivista Trimestrale di Diritto Pubblico</w:t>
      </w:r>
      <w:r w:rsidRPr="003112B6">
        <w:t>, 1, 2011, pp. 267-270.</w:t>
      </w:r>
    </w:p>
    <w:p w:rsidR="00FF333B" w:rsidRPr="003112B6" w:rsidRDefault="00FF333B" w:rsidP="00FF333B">
      <w:pPr>
        <w:keepLines/>
        <w:jc w:val="left"/>
        <w:rPr>
          <w:lang w:val="en-US"/>
        </w:rPr>
      </w:pPr>
      <w:r w:rsidRPr="003112B6">
        <w:rPr>
          <w:lang w:val="en-US"/>
        </w:rPr>
        <w:t xml:space="preserve">2) E. MITZMAN, </w:t>
      </w:r>
      <w:r w:rsidRPr="002953F1">
        <w:rPr>
          <w:i/>
          <w:lang w:val="en-US"/>
        </w:rPr>
        <w:t>The Proliferation of Independent Accountability Mechanisms in the Field of Development Finance</w:t>
      </w:r>
      <w:r w:rsidRPr="003112B6">
        <w:rPr>
          <w:lang w:val="en-US"/>
        </w:rPr>
        <w:t xml:space="preserve">, Jean Monnet Working Paper 14/10, </w:t>
      </w:r>
      <w:proofErr w:type="spellStart"/>
      <w:r w:rsidRPr="003112B6">
        <w:rPr>
          <w:lang w:val="en-US"/>
        </w:rPr>
        <w:t>anche</w:t>
      </w:r>
      <w:proofErr w:type="spellEnd"/>
      <w:r w:rsidRPr="003112B6">
        <w:rPr>
          <w:lang w:val="en-US"/>
        </w:rPr>
        <w:t xml:space="preserve"> </w:t>
      </w:r>
      <w:proofErr w:type="spellStart"/>
      <w:r w:rsidRPr="003112B6">
        <w:rPr>
          <w:lang w:val="en-US"/>
        </w:rPr>
        <w:t>pubblicato</w:t>
      </w:r>
      <w:proofErr w:type="spellEnd"/>
      <w:r w:rsidRPr="003112B6">
        <w:rPr>
          <w:lang w:val="en-US"/>
        </w:rPr>
        <w:t xml:space="preserve"> in </w:t>
      </w:r>
      <w:proofErr w:type="spellStart"/>
      <w:r w:rsidRPr="002953F1">
        <w:rPr>
          <w:i/>
          <w:lang w:val="en-US"/>
        </w:rPr>
        <w:t>Rivista</w:t>
      </w:r>
      <w:proofErr w:type="spellEnd"/>
      <w:r w:rsidRPr="002953F1">
        <w:rPr>
          <w:i/>
          <w:lang w:val="en-US"/>
        </w:rPr>
        <w:t xml:space="preserve"> </w:t>
      </w:r>
      <w:proofErr w:type="spellStart"/>
      <w:r w:rsidRPr="002953F1">
        <w:rPr>
          <w:i/>
          <w:lang w:val="en-US"/>
        </w:rPr>
        <w:t>Trimestrale</w:t>
      </w:r>
      <w:proofErr w:type="spellEnd"/>
      <w:r w:rsidRPr="002953F1">
        <w:rPr>
          <w:i/>
          <w:lang w:val="en-US"/>
        </w:rPr>
        <w:t xml:space="preserve"> </w:t>
      </w:r>
      <w:proofErr w:type="spellStart"/>
      <w:r w:rsidRPr="002953F1">
        <w:rPr>
          <w:i/>
          <w:lang w:val="en-US"/>
        </w:rPr>
        <w:t>di</w:t>
      </w:r>
      <w:proofErr w:type="spellEnd"/>
      <w:r w:rsidRPr="002953F1">
        <w:rPr>
          <w:i/>
          <w:lang w:val="en-US"/>
        </w:rPr>
        <w:t xml:space="preserve"> </w:t>
      </w:r>
      <w:proofErr w:type="spellStart"/>
      <w:r w:rsidRPr="002953F1">
        <w:rPr>
          <w:i/>
          <w:lang w:val="en-US"/>
        </w:rPr>
        <w:t>Diritto</w:t>
      </w:r>
      <w:proofErr w:type="spellEnd"/>
      <w:r w:rsidRPr="002953F1">
        <w:rPr>
          <w:i/>
          <w:lang w:val="en-US"/>
        </w:rPr>
        <w:t xml:space="preserve"> </w:t>
      </w:r>
      <w:proofErr w:type="spellStart"/>
      <w:r w:rsidRPr="002953F1">
        <w:rPr>
          <w:i/>
          <w:lang w:val="en-US"/>
        </w:rPr>
        <w:t>Pubblico</w:t>
      </w:r>
      <w:proofErr w:type="spellEnd"/>
      <w:r w:rsidRPr="003112B6">
        <w:rPr>
          <w:lang w:val="en-US"/>
        </w:rPr>
        <w:t>, 1-2012, p. 93.</w:t>
      </w:r>
    </w:p>
    <w:p w:rsidR="00FF333B" w:rsidRPr="003112B6" w:rsidRDefault="00FF333B" w:rsidP="00FF333B">
      <w:pPr>
        <w:keepLines/>
        <w:jc w:val="left"/>
      </w:pPr>
      <w:r w:rsidRPr="003112B6">
        <w:t xml:space="preserve">3) E. MITZMAN, </w:t>
      </w:r>
      <w:r w:rsidRPr="002953F1">
        <w:rPr>
          <w:i/>
        </w:rPr>
        <w:t>Definizioni degli interventi edilizi</w:t>
      </w:r>
      <w:r w:rsidRPr="003112B6">
        <w:t xml:space="preserve">, Commento all’art. 3, </w:t>
      </w:r>
      <w:proofErr w:type="spellStart"/>
      <w:r w:rsidRPr="003112B6">
        <w:t>D.Lg.</w:t>
      </w:r>
      <w:proofErr w:type="spellEnd"/>
      <w:r w:rsidRPr="003112B6">
        <w:t xml:space="preserve"> n. 380/2001, in </w:t>
      </w:r>
      <w:r w:rsidRPr="002953F1">
        <w:rPr>
          <w:i/>
        </w:rPr>
        <w:t>Codice ipertestuale dell’edilizia e dell’urbanistica</w:t>
      </w:r>
      <w:r w:rsidRPr="003112B6">
        <w:t xml:space="preserve">, a cura di G. </w:t>
      </w:r>
      <w:proofErr w:type="spellStart"/>
      <w:r w:rsidRPr="003112B6">
        <w:t>Vesperini</w:t>
      </w:r>
      <w:proofErr w:type="spellEnd"/>
      <w:r w:rsidRPr="003112B6">
        <w:t xml:space="preserve">, S. </w:t>
      </w:r>
      <w:proofErr w:type="spellStart"/>
      <w:r w:rsidRPr="003112B6">
        <w:t>Battini</w:t>
      </w:r>
      <w:proofErr w:type="spellEnd"/>
      <w:r w:rsidRPr="003112B6">
        <w:t>, L. Casini e C. Vitale, UTET, 2013.</w:t>
      </w:r>
    </w:p>
    <w:p w:rsidR="00FF333B" w:rsidRPr="003112B6" w:rsidRDefault="00FF333B" w:rsidP="00FF333B">
      <w:pPr>
        <w:keepLines/>
        <w:jc w:val="left"/>
      </w:pPr>
      <w:r>
        <w:t xml:space="preserve">4) </w:t>
      </w:r>
      <w:r w:rsidRPr="003112B6">
        <w:t xml:space="preserve">E. MITZMAN, </w:t>
      </w:r>
      <w:r w:rsidRPr="002953F1">
        <w:rPr>
          <w:i/>
        </w:rPr>
        <w:t>Acquisto coattivo</w:t>
      </w:r>
      <w:r w:rsidRPr="003112B6">
        <w:t xml:space="preserve">, Commento all’art. 70, </w:t>
      </w:r>
      <w:proofErr w:type="spellStart"/>
      <w:r w:rsidRPr="003112B6">
        <w:t>D.Lg.</w:t>
      </w:r>
      <w:proofErr w:type="spellEnd"/>
      <w:r w:rsidRPr="003112B6">
        <w:t xml:space="preserve"> 22 Gennaio 2004, n. 42, in M. A. SANDULLI (a cura di), </w:t>
      </w:r>
      <w:r w:rsidRPr="002953F1">
        <w:rPr>
          <w:i/>
        </w:rPr>
        <w:t>Codice dei beni culturali e del paesaggio</w:t>
      </w:r>
      <w:r w:rsidRPr="003112B6">
        <w:t xml:space="preserve">, </w:t>
      </w:r>
      <w:proofErr w:type="spellStart"/>
      <w:r w:rsidRPr="003112B6">
        <w:t>Giuffrè</w:t>
      </w:r>
      <w:proofErr w:type="spellEnd"/>
      <w:r w:rsidRPr="003112B6">
        <w:t xml:space="preserve">, Milano, 2012. </w:t>
      </w:r>
    </w:p>
    <w:p w:rsidR="00FF333B" w:rsidRPr="003112B6" w:rsidRDefault="00FF333B" w:rsidP="00FF333B">
      <w:pPr>
        <w:keepLines/>
        <w:jc w:val="left"/>
      </w:pPr>
      <w:r>
        <w:t xml:space="preserve">5) </w:t>
      </w:r>
      <w:r w:rsidRPr="003112B6">
        <w:t xml:space="preserve">E. MITZMAN, </w:t>
      </w:r>
      <w:r w:rsidRPr="002953F1">
        <w:rPr>
          <w:i/>
        </w:rPr>
        <w:t xml:space="preserve">Private and </w:t>
      </w:r>
      <w:proofErr w:type="spellStart"/>
      <w:r w:rsidRPr="002953F1">
        <w:rPr>
          <w:i/>
        </w:rPr>
        <w:t>public-private</w:t>
      </w:r>
      <w:proofErr w:type="spellEnd"/>
      <w:r w:rsidRPr="002953F1">
        <w:rPr>
          <w:i/>
        </w:rPr>
        <w:t xml:space="preserve"> global </w:t>
      </w:r>
      <w:proofErr w:type="spellStart"/>
      <w:r w:rsidRPr="002953F1">
        <w:rPr>
          <w:i/>
        </w:rPr>
        <w:t>regulation</w:t>
      </w:r>
      <w:proofErr w:type="spellEnd"/>
      <w:r w:rsidRPr="002953F1">
        <w:rPr>
          <w:i/>
        </w:rPr>
        <w:t xml:space="preserve">: global </w:t>
      </w:r>
      <w:proofErr w:type="spellStart"/>
      <w:r w:rsidRPr="002953F1">
        <w:rPr>
          <w:i/>
        </w:rPr>
        <w:t>administrative</w:t>
      </w:r>
      <w:proofErr w:type="spellEnd"/>
      <w:r w:rsidRPr="002953F1">
        <w:rPr>
          <w:i/>
        </w:rPr>
        <w:t xml:space="preserve"> </w:t>
      </w:r>
      <w:proofErr w:type="spellStart"/>
      <w:r w:rsidRPr="002953F1">
        <w:rPr>
          <w:i/>
        </w:rPr>
        <w:t>law</w:t>
      </w:r>
      <w:proofErr w:type="spellEnd"/>
      <w:r w:rsidRPr="002953F1">
        <w:rPr>
          <w:i/>
        </w:rPr>
        <w:t xml:space="preserve"> </w:t>
      </w:r>
      <w:proofErr w:type="spellStart"/>
      <w:r w:rsidRPr="002953F1">
        <w:rPr>
          <w:i/>
        </w:rPr>
        <w:t>dimensions</w:t>
      </w:r>
      <w:proofErr w:type="spellEnd"/>
      <w:r w:rsidRPr="003112B6">
        <w:t xml:space="preserve">, Segnalazione del settimo Global </w:t>
      </w:r>
      <w:proofErr w:type="spellStart"/>
      <w:r w:rsidRPr="003112B6">
        <w:t>Administrative</w:t>
      </w:r>
      <w:proofErr w:type="spellEnd"/>
      <w:r w:rsidRPr="003112B6">
        <w:t xml:space="preserve"> </w:t>
      </w:r>
      <w:proofErr w:type="spellStart"/>
      <w:r w:rsidRPr="003112B6">
        <w:t>Law</w:t>
      </w:r>
      <w:proofErr w:type="spellEnd"/>
      <w:r w:rsidRPr="003112B6">
        <w:t xml:space="preserve"> Seminar, in </w:t>
      </w:r>
      <w:r w:rsidRPr="002953F1">
        <w:rPr>
          <w:i/>
        </w:rPr>
        <w:t>Rivista Trimestrale di Diritto Pubblico</w:t>
      </w:r>
      <w:r w:rsidRPr="003112B6">
        <w:t>, 1, 2011.</w:t>
      </w:r>
    </w:p>
    <w:p w:rsidR="00FF333B" w:rsidRPr="003112B6" w:rsidRDefault="00FF333B" w:rsidP="00FF333B">
      <w:pPr>
        <w:keepLines/>
        <w:jc w:val="left"/>
      </w:pPr>
      <w:r>
        <w:t xml:space="preserve">6) </w:t>
      </w:r>
      <w:r w:rsidRPr="003112B6">
        <w:t>E. MITZMAN</w:t>
      </w:r>
      <w:r>
        <w:t>,</w:t>
      </w:r>
      <w:r w:rsidRPr="003112B6">
        <w:t xml:space="preserve"> </w:t>
      </w:r>
      <w:r w:rsidRPr="0079653D">
        <w:rPr>
          <w:i/>
        </w:rPr>
        <w:t>La liquidazione del danno da provvedimento illegittimo: una rassegna giurisprudenziale</w:t>
      </w:r>
      <w:r w:rsidRPr="003112B6">
        <w:t xml:space="preserve">, in </w:t>
      </w:r>
      <w:r w:rsidRPr="0079653D">
        <w:rPr>
          <w:i/>
        </w:rPr>
        <w:t>Dialoghi. Del diritto, dell’avvocatura, della giurisdizione</w:t>
      </w:r>
      <w:r w:rsidRPr="003112B6">
        <w:t xml:space="preserve">, 3-4, 2011, p. 255-269. </w:t>
      </w:r>
    </w:p>
    <w:p w:rsidR="00FF333B" w:rsidRPr="007A24C2" w:rsidRDefault="00FF333B" w:rsidP="00FF333B">
      <w:pPr>
        <w:keepLines/>
        <w:jc w:val="left"/>
      </w:pPr>
      <w:r w:rsidRPr="007A24C2">
        <w:t xml:space="preserve">7) E. MITZMAN, </w:t>
      </w:r>
      <w:r w:rsidRPr="007A24C2">
        <w:rPr>
          <w:i/>
        </w:rPr>
        <w:t xml:space="preserve">The </w:t>
      </w:r>
      <w:proofErr w:type="spellStart"/>
      <w:r w:rsidRPr="007A24C2">
        <w:rPr>
          <w:i/>
        </w:rPr>
        <w:t>Integrated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Coastal</w:t>
      </w:r>
      <w:proofErr w:type="spellEnd"/>
      <w:r w:rsidRPr="007A24C2">
        <w:rPr>
          <w:i/>
        </w:rPr>
        <w:t xml:space="preserve"> Zone Management and </w:t>
      </w:r>
      <w:proofErr w:type="spellStart"/>
      <w:r w:rsidRPr="007A24C2">
        <w:rPr>
          <w:i/>
        </w:rPr>
        <w:t>Clean-Up</w:t>
      </w:r>
      <w:proofErr w:type="spellEnd"/>
      <w:r w:rsidRPr="007A24C2">
        <w:rPr>
          <w:i/>
        </w:rPr>
        <w:t xml:space="preserve"> Project: </w:t>
      </w:r>
      <w:proofErr w:type="spellStart"/>
      <w:r w:rsidRPr="007A24C2">
        <w:rPr>
          <w:i/>
        </w:rPr>
        <w:t>Independent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Accountability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Mechanisms</w:t>
      </w:r>
      <w:proofErr w:type="spellEnd"/>
      <w:r w:rsidRPr="007A24C2">
        <w:rPr>
          <w:i/>
        </w:rPr>
        <w:t xml:space="preserve"> and the </w:t>
      </w:r>
      <w:proofErr w:type="spellStart"/>
      <w:r w:rsidRPr="007A24C2">
        <w:rPr>
          <w:i/>
        </w:rPr>
        <w:t>responsibility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of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Multilateral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Development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Banks</w:t>
      </w:r>
      <w:proofErr w:type="spellEnd"/>
      <w:r w:rsidRPr="007A24C2">
        <w:t>, in E. CAVALIERI, B. CAROTTI, L. CASINI, S. CASSESE, E. MACDONALD (</w:t>
      </w:r>
      <w:proofErr w:type="spellStart"/>
      <w:r w:rsidRPr="007A24C2">
        <w:t>eds</w:t>
      </w:r>
      <w:proofErr w:type="spellEnd"/>
      <w:r w:rsidRPr="007A24C2">
        <w:t xml:space="preserve">.), Global </w:t>
      </w:r>
      <w:proofErr w:type="spellStart"/>
      <w:r w:rsidRPr="007A24C2">
        <w:t>Administrative</w:t>
      </w:r>
      <w:proofErr w:type="spellEnd"/>
      <w:r w:rsidRPr="007A24C2">
        <w:t xml:space="preserve"> </w:t>
      </w:r>
      <w:proofErr w:type="spellStart"/>
      <w:r w:rsidRPr="007A24C2">
        <w:t>Law</w:t>
      </w:r>
      <w:proofErr w:type="spellEnd"/>
      <w:r w:rsidRPr="007A24C2">
        <w:t xml:space="preserve"> </w:t>
      </w:r>
      <w:proofErr w:type="spellStart"/>
      <w:r w:rsidRPr="007A24C2">
        <w:t>Casebook</w:t>
      </w:r>
      <w:proofErr w:type="spellEnd"/>
      <w:r w:rsidRPr="007A24C2">
        <w:t>, 3rd ed., IRPA (Istituto di Ricerche sulla Pubblica Amministrazione), 2012.</w:t>
      </w:r>
    </w:p>
    <w:p w:rsidR="00FF333B" w:rsidRPr="007A24C2" w:rsidRDefault="00FF333B" w:rsidP="00FF333B">
      <w:pPr>
        <w:keepLines/>
        <w:jc w:val="left"/>
      </w:pPr>
      <w:r w:rsidRPr="007A24C2">
        <w:t>8) E. MITZMAN</w:t>
      </w:r>
      <w:r>
        <w:t>,</w:t>
      </w:r>
      <w:r w:rsidRPr="007A24C2">
        <w:t xml:space="preserve"> </w:t>
      </w:r>
      <w:proofErr w:type="spellStart"/>
      <w:r w:rsidRPr="007A24C2">
        <w:rPr>
          <w:i/>
        </w:rPr>
        <w:t>Administrative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Tribunals</w:t>
      </w:r>
      <w:proofErr w:type="spellEnd"/>
      <w:r w:rsidRPr="007A24C2">
        <w:rPr>
          <w:i/>
        </w:rPr>
        <w:t xml:space="preserve"> and the </w:t>
      </w:r>
      <w:proofErr w:type="spellStart"/>
      <w:r w:rsidRPr="007A24C2">
        <w:rPr>
          <w:i/>
        </w:rPr>
        <w:t>review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of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discretionary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powers</w:t>
      </w:r>
      <w:proofErr w:type="spellEnd"/>
      <w:r w:rsidRPr="007A24C2">
        <w:t>, in E. CAVALIERI, B. CAROTTI, L. CASINI, S. CASSESE, E. MACDONALD (</w:t>
      </w:r>
      <w:proofErr w:type="spellStart"/>
      <w:r w:rsidRPr="007A24C2">
        <w:t>eds</w:t>
      </w:r>
      <w:proofErr w:type="spellEnd"/>
      <w:r w:rsidRPr="007A24C2">
        <w:t xml:space="preserve">.), Global </w:t>
      </w:r>
      <w:proofErr w:type="spellStart"/>
      <w:r w:rsidRPr="007A24C2">
        <w:t>Administrative</w:t>
      </w:r>
      <w:proofErr w:type="spellEnd"/>
      <w:r w:rsidRPr="007A24C2">
        <w:t xml:space="preserve"> </w:t>
      </w:r>
      <w:proofErr w:type="spellStart"/>
      <w:r w:rsidRPr="007A24C2">
        <w:t>Law</w:t>
      </w:r>
      <w:proofErr w:type="spellEnd"/>
      <w:r w:rsidRPr="007A24C2">
        <w:t xml:space="preserve"> </w:t>
      </w:r>
      <w:proofErr w:type="spellStart"/>
      <w:r w:rsidRPr="007A24C2">
        <w:t>Casebook</w:t>
      </w:r>
      <w:proofErr w:type="spellEnd"/>
      <w:r w:rsidRPr="007A24C2">
        <w:t>, 3rd ed., IRPA (Istituto di Ricerche sulla Pubblica Amministrazione), 2012.</w:t>
      </w:r>
    </w:p>
    <w:p w:rsidR="00FF333B" w:rsidRPr="003112B6" w:rsidRDefault="00FF333B" w:rsidP="00FF333B">
      <w:pPr>
        <w:keepLines/>
        <w:jc w:val="left"/>
      </w:pPr>
      <w:r>
        <w:t>9</w:t>
      </w:r>
      <w:r w:rsidRPr="003112B6">
        <w:t xml:space="preserve">) E. MITZMAN, </w:t>
      </w:r>
      <w:r w:rsidRPr="007A24C2">
        <w:rPr>
          <w:i/>
        </w:rPr>
        <w:t>La Corte costituzionale conferma i limiti della ristrutturazione edilizia mediante demolizione e ricostruzione: le definizioni degli interventi edilizi come principi fondamentali della legislazione statale, tra governo del territorio e tutela del paesaggio nazionale</w:t>
      </w:r>
      <w:r w:rsidRPr="003112B6">
        <w:t xml:space="preserve">, in </w:t>
      </w:r>
      <w:r w:rsidRPr="007A24C2">
        <w:rPr>
          <w:i/>
        </w:rPr>
        <w:t>Le Regioni</w:t>
      </w:r>
      <w:r w:rsidRPr="003112B6">
        <w:t>, fasc. 1-2, 2012, p. 363-376.</w:t>
      </w:r>
    </w:p>
    <w:p w:rsidR="00FF333B" w:rsidRPr="003112B6" w:rsidRDefault="00FF333B" w:rsidP="00FF333B">
      <w:pPr>
        <w:keepLines/>
        <w:jc w:val="left"/>
      </w:pPr>
      <w:r>
        <w:t xml:space="preserve">10) </w:t>
      </w:r>
      <w:r w:rsidRPr="003112B6">
        <w:t xml:space="preserve">E. MITZMAN, </w:t>
      </w:r>
      <w:r w:rsidRPr="007A24C2">
        <w:rPr>
          <w:i/>
        </w:rPr>
        <w:t xml:space="preserve">L’ottavo Viterbo Global </w:t>
      </w:r>
      <w:proofErr w:type="spellStart"/>
      <w:r w:rsidRPr="007A24C2">
        <w:rPr>
          <w:i/>
        </w:rPr>
        <w:t>Administrative</w:t>
      </w:r>
      <w:proofErr w:type="spellEnd"/>
      <w:r w:rsidRPr="007A24C2">
        <w:rPr>
          <w:i/>
        </w:rPr>
        <w:t xml:space="preserve"> </w:t>
      </w:r>
      <w:proofErr w:type="spellStart"/>
      <w:r w:rsidRPr="007A24C2">
        <w:rPr>
          <w:i/>
        </w:rPr>
        <w:t>Law</w:t>
      </w:r>
      <w:proofErr w:type="spellEnd"/>
      <w:r w:rsidRPr="007A24C2">
        <w:rPr>
          <w:i/>
        </w:rPr>
        <w:t xml:space="preserve"> Seminar: la dimensione giuridica degli indicatori globali</w:t>
      </w:r>
      <w:r w:rsidRPr="003112B6">
        <w:t xml:space="preserve">, Segnalazione in </w:t>
      </w:r>
      <w:r w:rsidRPr="007A24C2">
        <w:rPr>
          <w:i/>
        </w:rPr>
        <w:t>Rivista Trimestrale di Diritto Pubblico</w:t>
      </w:r>
      <w:r w:rsidRPr="003112B6">
        <w:t>, fasc. 4, 2012, 1148-1156.</w:t>
      </w:r>
    </w:p>
    <w:p w:rsidR="00650962" w:rsidRDefault="00FF333B" w:rsidP="006A1581">
      <w:pPr>
        <w:keepLines/>
        <w:jc w:val="left"/>
      </w:pPr>
      <w:r>
        <w:t xml:space="preserve">11) </w:t>
      </w:r>
      <w:r w:rsidRPr="003112B6">
        <w:t xml:space="preserve">E. MITZMAN, </w:t>
      </w:r>
      <w:r w:rsidRPr="007A24C2">
        <w:rPr>
          <w:i/>
        </w:rPr>
        <w:t>Le Fondazioni della pubblica amministrazione: una prospettiva di diritto comparato</w:t>
      </w:r>
      <w:r w:rsidRPr="003112B6">
        <w:t xml:space="preserve">, in B. </w:t>
      </w:r>
      <w:proofErr w:type="spellStart"/>
      <w:r w:rsidRPr="003112B6">
        <w:t>Marchetti</w:t>
      </w:r>
      <w:proofErr w:type="spellEnd"/>
      <w:r w:rsidRPr="003112B6">
        <w:t xml:space="preserve"> (a cura di), </w:t>
      </w:r>
      <w:r w:rsidRPr="007A24C2">
        <w:rPr>
          <w:i/>
        </w:rPr>
        <w:t>Pubblico e privato nell’organizzazione e nell’attività amministrativa</w:t>
      </w:r>
      <w:r w:rsidRPr="003112B6">
        <w:t>, Trento</w:t>
      </w:r>
      <w:r>
        <w:t>,</w:t>
      </w:r>
      <w:r w:rsidRPr="003112B6">
        <w:t xml:space="preserve"> 2013.</w:t>
      </w:r>
      <w:bookmarkStart w:id="0" w:name="_GoBack"/>
      <w:bookmarkEnd w:id="0"/>
    </w:p>
    <w:sectPr w:rsidR="00650962" w:rsidSect="002541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03CFA"/>
    <w:multiLevelType w:val="multilevel"/>
    <w:tmpl w:val="74B6C8A6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F333B"/>
    <w:rsid w:val="000032D2"/>
    <w:rsid w:val="0018182F"/>
    <w:rsid w:val="00254163"/>
    <w:rsid w:val="005250C3"/>
    <w:rsid w:val="00650962"/>
    <w:rsid w:val="006A1581"/>
    <w:rsid w:val="007E06CC"/>
    <w:rsid w:val="00A01C28"/>
    <w:rsid w:val="00A90882"/>
    <w:rsid w:val="00C66C7A"/>
    <w:rsid w:val="00FF3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33B"/>
    <w:pPr>
      <w:jc w:val="both"/>
    </w:pPr>
    <w:rPr>
      <w:rFonts w:ascii="Times New Roman" w:eastAsia="Calibri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182F"/>
    <w:pPr>
      <w:keepNext/>
      <w:keepLines/>
      <w:numPr>
        <w:numId w:val="2"/>
      </w:numPr>
      <w:tabs>
        <w:tab w:val="left" w:pos="284"/>
      </w:tabs>
      <w:spacing w:before="240" w:after="0" w:line="360" w:lineRule="auto"/>
      <w:contextualSpacing/>
      <w:outlineLvl w:val="0"/>
    </w:pPr>
    <w:rPr>
      <w:rFonts w:eastAsiaTheme="majorEastAsia" w:cstheme="majorBidi"/>
      <w:bCs/>
      <w:i/>
      <w:szCs w:val="28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8182F"/>
    <w:pPr>
      <w:numPr>
        <w:numId w:val="0"/>
      </w:numPr>
      <w:tabs>
        <w:tab w:val="left" w:pos="426"/>
      </w:tabs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aliases w:val="Maiuscoletto"/>
    <w:basedOn w:val="Carpredefinitoparagrafo"/>
    <w:uiPriority w:val="31"/>
    <w:qFormat/>
    <w:rsid w:val="00A90882"/>
    <w:rPr>
      <w:smallCaps/>
      <w:color w:val="auto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182F"/>
    <w:rPr>
      <w:rFonts w:ascii="Times New Roman" w:eastAsiaTheme="majorEastAsia" w:hAnsi="Times New Roman" w:cstheme="majorBidi"/>
      <w:bCs/>
      <w:i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182F"/>
    <w:rPr>
      <w:rFonts w:ascii="Times New Roman" w:eastAsiaTheme="majorEastAsia" w:hAnsi="Times New Roman" w:cstheme="majorBidi"/>
      <w:bCs/>
      <w:i/>
      <w:sz w:val="24"/>
      <w:szCs w:val="28"/>
    </w:rPr>
  </w:style>
  <w:style w:type="character" w:styleId="Enfasicorsivo">
    <w:name w:val="Emphasis"/>
    <w:uiPriority w:val="20"/>
    <w:qFormat/>
    <w:rsid w:val="00FF333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F333B"/>
    <w:pPr>
      <w:jc w:val="both"/>
    </w:pPr>
    <w:rPr>
      <w:rFonts w:ascii="Times New Roman" w:eastAsia="Calibri" w:hAnsi="Times New Roman" w:cs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8182F"/>
    <w:pPr>
      <w:keepNext/>
      <w:keepLines/>
      <w:numPr>
        <w:numId w:val="2"/>
      </w:numPr>
      <w:tabs>
        <w:tab w:val="left" w:pos="284"/>
      </w:tabs>
      <w:spacing w:before="240" w:after="0" w:line="360" w:lineRule="auto"/>
      <w:contextualSpacing/>
      <w:outlineLvl w:val="0"/>
    </w:pPr>
    <w:rPr>
      <w:rFonts w:eastAsiaTheme="majorEastAsia" w:cstheme="majorBidi"/>
      <w:bCs/>
      <w:i/>
      <w:szCs w:val="28"/>
    </w:rPr>
  </w:style>
  <w:style w:type="paragraph" w:styleId="Titolo2">
    <w:name w:val="heading 2"/>
    <w:basedOn w:val="Titolo1"/>
    <w:next w:val="Normale"/>
    <w:link w:val="Titolo2Carattere"/>
    <w:uiPriority w:val="9"/>
    <w:unhideWhenUsed/>
    <w:qFormat/>
    <w:rsid w:val="0018182F"/>
    <w:pPr>
      <w:numPr>
        <w:numId w:val="0"/>
      </w:numPr>
      <w:tabs>
        <w:tab w:val="left" w:pos="426"/>
      </w:tabs>
      <w:outlineLvl w:val="1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ferimentodelicato">
    <w:name w:val="Subtle Reference"/>
    <w:aliases w:val="Maiuscoletto"/>
    <w:basedOn w:val="Carpredefinitoparagrafo"/>
    <w:uiPriority w:val="31"/>
    <w:qFormat/>
    <w:rsid w:val="00A90882"/>
    <w:rPr>
      <w:smallCaps/>
      <w:color w:val="auto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8182F"/>
    <w:rPr>
      <w:rFonts w:ascii="Times New Roman" w:eastAsiaTheme="majorEastAsia" w:hAnsi="Times New Roman" w:cstheme="majorBidi"/>
      <w:bCs/>
      <w:i/>
      <w:sz w:val="24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8182F"/>
    <w:rPr>
      <w:rFonts w:ascii="Times New Roman" w:eastAsiaTheme="majorEastAsia" w:hAnsi="Times New Roman" w:cstheme="majorBidi"/>
      <w:bCs/>
      <w:i/>
      <w:sz w:val="24"/>
      <w:szCs w:val="28"/>
    </w:rPr>
  </w:style>
  <w:style w:type="character" w:styleId="Enfasicorsivo">
    <w:name w:val="Emphasis"/>
    <w:uiPriority w:val="20"/>
    <w:qFormat/>
    <w:rsid w:val="00FF333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Martina de Lucia</cp:lastModifiedBy>
  <cp:revision>2</cp:revision>
  <dcterms:created xsi:type="dcterms:W3CDTF">2014-02-04T15:05:00Z</dcterms:created>
  <dcterms:modified xsi:type="dcterms:W3CDTF">2014-02-04T15:05:00Z</dcterms:modified>
</cp:coreProperties>
</file>