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99" w:rsidRDefault="00DB4899" w:rsidP="00DB4899">
      <w:pPr>
        <w:pStyle w:val="Titolo"/>
        <w:rPr>
          <w:szCs w:val="26"/>
        </w:rPr>
      </w:pPr>
      <w:r w:rsidRPr="004847CF">
        <w:rPr>
          <w:szCs w:val="26"/>
        </w:rPr>
        <w:t>CARLO NOTARMUZI</w:t>
      </w:r>
    </w:p>
    <w:p w:rsidR="00DB4899" w:rsidRDefault="00DB4899" w:rsidP="00DB4899">
      <w:pPr>
        <w:pStyle w:val="Titolo"/>
        <w:rPr>
          <w:szCs w:val="26"/>
        </w:rPr>
      </w:pPr>
    </w:p>
    <w:p w:rsidR="00DB4899" w:rsidRDefault="00DB4899" w:rsidP="00DB4899">
      <w:pPr>
        <w:pStyle w:val="Titolo"/>
        <w:rPr>
          <w:szCs w:val="26"/>
        </w:rPr>
      </w:pPr>
      <w:r>
        <w:rPr>
          <w:szCs w:val="26"/>
        </w:rPr>
        <w:t>Elenco pubblicazioni</w:t>
      </w:r>
    </w:p>
    <w:p w:rsidR="009A0F07" w:rsidRDefault="009A0F07" w:rsidP="00DB4899">
      <w:pPr>
        <w:pStyle w:val="Titolo"/>
        <w:rPr>
          <w:szCs w:val="26"/>
        </w:rPr>
      </w:pPr>
    </w:p>
    <w:p w:rsidR="009A0F07" w:rsidRDefault="009A0F07" w:rsidP="00DB4899">
      <w:pPr>
        <w:pStyle w:val="Titolo"/>
        <w:rPr>
          <w:szCs w:val="26"/>
        </w:rPr>
      </w:pP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 xml:space="preserve">Il funzionario nominato Commissario ad </w:t>
      </w:r>
      <w:proofErr w:type="spellStart"/>
      <w:r w:rsidRPr="004847CF">
        <w:rPr>
          <w:i/>
          <w:sz w:val="26"/>
          <w:szCs w:val="26"/>
        </w:rPr>
        <w:t>acta</w:t>
      </w:r>
      <w:proofErr w:type="spellEnd"/>
      <w:r w:rsidRPr="004847CF">
        <w:rPr>
          <w:i/>
          <w:sz w:val="26"/>
          <w:szCs w:val="26"/>
        </w:rPr>
        <w:t xml:space="preserve"> dal giudice amministrativo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>Rivista Amministrativa della Repubblica Italiana</w:t>
      </w:r>
      <w:r w:rsidRPr="004847CF">
        <w:rPr>
          <w:sz w:val="26"/>
          <w:szCs w:val="26"/>
        </w:rPr>
        <w:t>, n. 6/91, p.6 ss.;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right="-1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Gli uffici di statistica delle camere di commercio, industria, artigianato e agricoltura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>Il Sistema Statistico Nazionale</w:t>
      </w:r>
      <w:r w:rsidRPr="004847CF">
        <w:rPr>
          <w:sz w:val="26"/>
          <w:szCs w:val="26"/>
        </w:rPr>
        <w:t>, ISTAT, Roma,1994, p.113 ss.;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right="-1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L’attuazione dei controlli interni nelle pubbliche amministrazioni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>Rivista della Corte dei conti</w:t>
      </w:r>
      <w:r w:rsidRPr="004847CF">
        <w:rPr>
          <w:sz w:val="26"/>
          <w:szCs w:val="26"/>
        </w:rPr>
        <w:t>, n. 5/1996, p. 282 ss.;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right="-1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 xml:space="preserve">Le vicende amministrative dell’immigrazione, </w:t>
      </w:r>
      <w:r w:rsidRPr="004847CF">
        <w:rPr>
          <w:sz w:val="26"/>
          <w:szCs w:val="26"/>
        </w:rPr>
        <w:t xml:space="preserve">in </w:t>
      </w:r>
      <w:r w:rsidRPr="004847CF">
        <w:rPr>
          <w:i/>
          <w:sz w:val="26"/>
          <w:szCs w:val="26"/>
        </w:rPr>
        <w:t>Giurisprudenza di merito</w:t>
      </w:r>
      <w:r w:rsidRPr="004847CF">
        <w:rPr>
          <w:sz w:val="26"/>
          <w:szCs w:val="26"/>
        </w:rPr>
        <w:t xml:space="preserve">, n. 6/1997; 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right="-1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 xml:space="preserve">Fondi Pensione (Commissione di vigilanza sui) </w:t>
      </w:r>
      <w:r w:rsidRPr="004847CF">
        <w:rPr>
          <w:sz w:val="26"/>
          <w:szCs w:val="26"/>
        </w:rPr>
        <w:t xml:space="preserve">voce, in </w:t>
      </w:r>
      <w:r w:rsidRPr="004847CF">
        <w:rPr>
          <w:i/>
          <w:sz w:val="26"/>
          <w:szCs w:val="26"/>
        </w:rPr>
        <w:t>Enciclopedia Giuridica Treccani</w:t>
      </w:r>
      <w:r w:rsidRPr="004847CF">
        <w:rPr>
          <w:sz w:val="26"/>
          <w:szCs w:val="26"/>
        </w:rPr>
        <w:t>, aggiornamenti, 1998;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right="-1" w:hanging="357"/>
        <w:jc w:val="both"/>
        <w:rPr>
          <w:sz w:val="26"/>
          <w:szCs w:val="26"/>
        </w:rPr>
      </w:pPr>
      <w:r w:rsidRPr="004847CF">
        <w:rPr>
          <w:i/>
          <w:iCs/>
          <w:sz w:val="26"/>
          <w:szCs w:val="26"/>
        </w:rPr>
        <w:t>La Commissione di vigilanza sui fondi pensioni</w:t>
      </w:r>
      <w:r w:rsidRPr="004847CF">
        <w:rPr>
          <w:sz w:val="26"/>
          <w:szCs w:val="26"/>
        </w:rPr>
        <w:t>, volume monografico, edizione il Sole 24 ore, Milano, 1999, pp. 260;</w:t>
      </w:r>
    </w:p>
    <w:p w:rsidR="009A0F07" w:rsidRPr="004847CF" w:rsidRDefault="009A0F07" w:rsidP="009A0F07">
      <w:pPr>
        <w:pStyle w:val="Corpodeltesto"/>
        <w:numPr>
          <w:ilvl w:val="0"/>
          <w:numId w:val="1"/>
        </w:numPr>
        <w:spacing w:after="120"/>
        <w:ind w:left="714" w:hanging="357"/>
        <w:rPr>
          <w:szCs w:val="26"/>
        </w:rPr>
      </w:pPr>
      <w:r w:rsidRPr="004847CF">
        <w:rPr>
          <w:i/>
          <w:iCs/>
          <w:szCs w:val="26"/>
        </w:rPr>
        <w:t>L’ordinamento delle strutture generali e la disciplina dell’autonomia finanziaria e della contabilità della Presidenza del Consiglio dei ministri,</w:t>
      </w:r>
      <w:r w:rsidRPr="004847CF">
        <w:rPr>
          <w:szCs w:val="26"/>
        </w:rPr>
        <w:t xml:space="preserve"> in </w:t>
      </w:r>
      <w:r w:rsidRPr="004847CF">
        <w:rPr>
          <w:i/>
          <w:iCs/>
          <w:szCs w:val="26"/>
        </w:rPr>
        <w:t>Giornale di diritto amministrativo,</w:t>
      </w:r>
      <w:r w:rsidRPr="004847CF">
        <w:rPr>
          <w:szCs w:val="26"/>
        </w:rPr>
        <w:t xml:space="preserve"> n. 9/2000, p. 854;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L</w:t>
      </w:r>
      <w:r w:rsidRPr="004847CF">
        <w:rPr>
          <w:i/>
          <w:iCs/>
          <w:sz w:val="26"/>
          <w:szCs w:val="26"/>
        </w:rPr>
        <w:t>e organizzazioni degli utenti nella legislazione sugli scioperi nei servizi pubblici essenziali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iCs/>
          <w:sz w:val="26"/>
          <w:szCs w:val="26"/>
        </w:rPr>
        <w:t>Newsletter</w:t>
      </w:r>
      <w:r w:rsidRPr="004847CF">
        <w:rPr>
          <w:sz w:val="26"/>
          <w:szCs w:val="26"/>
        </w:rPr>
        <w:t xml:space="preserve"> </w:t>
      </w:r>
      <w:r w:rsidRPr="004847CF">
        <w:rPr>
          <w:i/>
          <w:iCs/>
          <w:sz w:val="26"/>
          <w:szCs w:val="26"/>
        </w:rPr>
        <w:t>della Commissione di garanzia dell’attuazione dello sciopero nei servizi pubblici essenziali,</w:t>
      </w:r>
      <w:r w:rsidRPr="004847CF">
        <w:rPr>
          <w:sz w:val="26"/>
          <w:szCs w:val="26"/>
        </w:rPr>
        <w:t xml:space="preserve"> n. 2/2002;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Le nuove disposizioni in materia di firme elettroniche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>Foro amministrativo – Consiglio di Stato</w:t>
      </w:r>
      <w:r w:rsidRPr="004847CF">
        <w:rPr>
          <w:sz w:val="26"/>
          <w:szCs w:val="26"/>
        </w:rPr>
        <w:t>, n. 7/2003, p. 2060;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 xml:space="preserve">La </w:t>
      </w:r>
      <w:proofErr w:type="spellStart"/>
      <w:r w:rsidRPr="004847CF">
        <w:rPr>
          <w:i/>
          <w:sz w:val="26"/>
          <w:szCs w:val="26"/>
        </w:rPr>
        <w:t>governance</w:t>
      </w:r>
      <w:proofErr w:type="spellEnd"/>
      <w:r w:rsidRPr="004847CF">
        <w:rPr>
          <w:i/>
          <w:sz w:val="26"/>
          <w:szCs w:val="26"/>
        </w:rPr>
        <w:t xml:space="preserve"> nell’</w:t>
      </w:r>
      <w:proofErr w:type="spellStart"/>
      <w:r w:rsidRPr="004847CF">
        <w:rPr>
          <w:i/>
          <w:sz w:val="26"/>
          <w:szCs w:val="26"/>
        </w:rPr>
        <w:t>e-government</w:t>
      </w:r>
      <w:proofErr w:type="spellEnd"/>
      <w:r w:rsidRPr="004847CF">
        <w:rPr>
          <w:i/>
          <w:sz w:val="26"/>
          <w:szCs w:val="26"/>
        </w:rPr>
        <w:t>: l’</w:t>
      </w:r>
      <w:proofErr w:type="spellStart"/>
      <w:r w:rsidRPr="004847CF">
        <w:rPr>
          <w:i/>
          <w:sz w:val="26"/>
          <w:szCs w:val="26"/>
        </w:rPr>
        <w:t>e-governance</w:t>
      </w:r>
      <w:proofErr w:type="spellEnd"/>
      <w:r w:rsidRPr="004847CF">
        <w:rPr>
          <w:i/>
          <w:sz w:val="26"/>
          <w:szCs w:val="26"/>
        </w:rPr>
        <w:t xml:space="preserve">, </w:t>
      </w:r>
      <w:r w:rsidRPr="004847CF">
        <w:rPr>
          <w:sz w:val="26"/>
          <w:szCs w:val="26"/>
        </w:rPr>
        <w:t xml:space="preserve">in </w:t>
      </w:r>
      <w:r w:rsidRPr="004847CF">
        <w:rPr>
          <w:i/>
          <w:sz w:val="26"/>
          <w:szCs w:val="26"/>
        </w:rPr>
        <w:t xml:space="preserve">I mercati dell’amministrazione, </w:t>
      </w:r>
      <w:r w:rsidRPr="004847CF">
        <w:rPr>
          <w:sz w:val="26"/>
          <w:szCs w:val="26"/>
        </w:rPr>
        <w:t>a cura</w:t>
      </w:r>
      <w:r w:rsidRPr="004847CF">
        <w:rPr>
          <w:i/>
          <w:sz w:val="26"/>
          <w:szCs w:val="26"/>
        </w:rPr>
        <w:t xml:space="preserve"> </w:t>
      </w:r>
      <w:r w:rsidRPr="004847CF">
        <w:rPr>
          <w:sz w:val="26"/>
          <w:szCs w:val="26"/>
        </w:rPr>
        <w:t xml:space="preserve">di G. della Cananea, Quaderno n. 13 del </w:t>
      </w:r>
      <w:r w:rsidRPr="004847CF">
        <w:rPr>
          <w:i/>
          <w:sz w:val="26"/>
          <w:szCs w:val="26"/>
        </w:rPr>
        <w:t>Giornale di diritto amministrativo</w:t>
      </w:r>
      <w:r w:rsidRPr="004847CF">
        <w:rPr>
          <w:sz w:val="26"/>
          <w:szCs w:val="26"/>
        </w:rPr>
        <w:t>, edizioni IPSOA, Milano, 2006;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Gli uffici di diretta collaborazione del Ministro dell’interno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>Rivista Trimestrale di diritto pubblico</w:t>
      </w:r>
      <w:r w:rsidRPr="004847CF">
        <w:rPr>
          <w:sz w:val="26"/>
          <w:szCs w:val="26"/>
        </w:rPr>
        <w:t xml:space="preserve">, n. 3/2006, p. 711, Milano, </w:t>
      </w:r>
      <w:proofErr w:type="spellStart"/>
      <w:r w:rsidRPr="004847CF">
        <w:rPr>
          <w:sz w:val="26"/>
          <w:szCs w:val="26"/>
        </w:rPr>
        <w:t>Giuffrè</w:t>
      </w:r>
      <w:proofErr w:type="spellEnd"/>
      <w:r w:rsidRPr="004847CF">
        <w:rPr>
          <w:sz w:val="26"/>
          <w:szCs w:val="26"/>
        </w:rPr>
        <w:t>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Il Codice dell’amministrazione digitale</w:t>
      </w:r>
      <w:r w:rsidRPr="004847CF">
        <w:rPr>
          <w:sz w:val="26"/>
          <w:szCs w:val="26"/>
        </w:rPr>
        <w:t xml:space="preserve">, in </w:t>
      </w:r>
      <w:proofErr w:type="spellStart"/>
      <w:r w:rsidRPr="004847CF">
        <w:rPr>
          <w:i/>
          <w:sz w:val="26"/>
          <w:szCs w:val="26"/>
        </w:rPr>
        <w:t>Astrid</w:t>
      </w:r>
      <w:proofErr w:type="spellEnd"/>
      <w:r w:rsidRPr="004847CF">
        <w:rPr>
          <w:i/>
          <w:sz w:val="26"/>
          <w:szCs w:val="26"/>
        </w:rPr>
        <w:t xml:space="preserve"> - Rassegna</w:t>
      </w:r>
      <w:r w:rsidRPr="004847CF">
        <w:rPr>
          <w:sz w:val="26"/>
          <w:szCs w:val="26"/>
        </w:rPr>
        <w:t>, n. 32 del 2006;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 xml:space="preserve">Il procedimento amministrativo informatico </w:t>
      </w:r>
      <w:r w:rsidRPr="004847CF">
        <w:rPr>
          <w:sz w:val="26"/>
          <w:szCs w:val="26"/>
        </w:rPr>
        <w:t xml:space="preserve">in </w:t>
      </w:r>
      <w:r w:rsidRPr="004847CF">
        <w:rPr>
          <w:i/>
          <w:sz w:val="26"/>
          <w:szCs w:val="26"/>
        </w:rPr>
        <w:t xml:space="preserve">Le amministrazioni pubbliche tra conservazione e riforme – omaggio degli allievi al Prof. </w:t>
      </w:r>
      <w:proofErr w:type="spellStart"/>
      <w:r w:rsidRPr="004847CF">
        <w:rPr>
          <w:i/>
          <w:sz w:val="26"/>
          <w:szCs w:val="26"/>
        </w:rPr>
        <w:t>Cassese</w:t>
      </w:r>
      <w:proofErr w:type="spellEnd"/>
      <w:r w:rsidRPr="004847CF">
        <w:rPr>
          <w:sz w:val="26"/>
          <w:szCs w:val="26"/>
        </w:rPr>
        <w:t>, AA.VV.</w:t>
      </w:r>
      <w:r w:rsidRPr="004847CF">
        <w:rPr>
          <w:i/>
          <w:sz w:val="26"/>
          <w:szCs w:val="26"/>
        </w:rPr>
        <w:t xml:space="preserve"> </w:t>
      </w:r>
      <w:r w:rsidRPr="004847CF">
        <w:rPr>
          <w:sz w:val="26"/>
          <w:szCs w:val="26"/>
        </w:rPr>
        <w:t xml:space="preserve">p. 241-259, Milano, </w:t>
      </w:r>
      <w:proofErr w:type="spellStart"/>
      <w:r w:rsidRPr="004847CF">
        <w:rPr>
          <w:sz w:val="26"/>
          <w:szCs w:val="26"/>
        </w:rPr>
        <w:t>Giuffrè</w:t>
      </w:r>
      <w:proofErr w:type="spellEnd"/>
      <w:r w:rsidRPr="004847CF">
        <w:rPr>
          <w:sz w:val="26"/>
          <w:szCs w:val="26"/>
        </w:rPr>
        <w:t>, 2008;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proofErr w:type="spellStart"/>
      <w:r w:rsidRPr="004847CF">
        <w:rPr>
          <w:i/>
          <w:sz w:val="26"/>
          <w:szCs w:val="26"/>
        </w:rPr>
        <w:t>DigitPA</w:t>
      </w:r>
      <w:proofErr w:type="spellEnd"/>
      <w:r w:rsidRPr="004847CF">
        <w:rPr>
          <w:i/>
          <w:sz w:val="26"/>
          <w:szCs w:val="26"/>
        </w:rPr>
        <w:t>: la terza riorganizzazione dell’informatica pubblica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 xml:space="preserve">Giornale di diritto amministrativo, </w:t>
      </w:r>
      <w:r w:rsidRPr="004847CF">
        <w:rPr>
          <w:sz w:val="26"/>
          <w:szCs w:val="26"/>
        </w:rPr>
        <w:t>n.10/2010, p. 1014;</w:t>
      </w:r>
    </w:p>
    <w:p w:rsidR="009A0F07" w:rsidRPr="004847CF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sz w:val="26"/>
          <w:szCs w:val="26"/>
        </w:rPr>
      </w:pPr>
      <w:r w:rsidRPr="004847CF">
        <w:rPr>
          <w:i/>
          <w:sz w:val="26"/>
          <w:szCs w:val="26"/>
        </w:rPr>
        <w:t>L’Agenzia per la diffusione delle tecnologie per l’innovazione</w:t>
      </w:r>
      <w:r w:rsidRPr="004847CF">
        <w:rPr>
          <w:sz w:val="26"/>
          <w:szCs w:val="26"/>
        </w:rPr>
        <w:t xml:space="preserve">, in </w:t>
      </w:r>
      <w:r w:rsidRPr="004847CF">
        <w:rPr>
          <w:i/>
          <w:sz w:val="26"/>
          <w:szCs w:val="26"/>
        </w:rPr>
        <w:t xml:space="preserve">Giornale di diritto amministrativo, </w:t>
      </w:r>
      <w:r w:rsidRPr="004847CF">
        <w:rPr>
          <w:sz w:val="26"/>
          <w:szCs w:val="26"/>
        </w:rPr>
        <w:t xml:space="preserve">n.6/2011, p. </w:t>
      </w:r>
      <w:r>
        <w:rPr>
          <w:sz w:val="26"/>
          <w:szCs w:val="26"/>
        </w:rPr>
        <w:t>610;</w:t>
      </w:r>
    </w:p>
    <w:p w:rsidR="009A0F07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i/>
          <w:sz w:val="26"/>
          <w:szCs w:val="26"/>
        </w:rPr>
      </w:pPr>
      <w:r w:rsidRPr="00A71405">
        <w:rPr>
          <w:i/>
          <w:sz w:val="26"/>
          <w:szCs w:val="26"/>
        </w:rPr>
        <w:t>Le autorizzazioni di polizia</w:t>
      </w:r>
      <w:r>
        <w:rPr>
          <w:sz w:val="26"/>
          <w:szCs w:val="26"/>
        </w:rPr>
        <w:t xml:space="preserve">, in </w:t>
      </w:r>
      <w:r>
        <w:rPr>
          <w:i/>
          <w:sz w:val="26"/>
          <w:szCs w:val="26"/>
        </w:rPr>
        <w:t xml:space="preserve">La regolazione intelligente – un bilancio critico delle liberalizzazioni italiane, </w:t>
      </w:r>
      <w:r>
        <w:rPr>
          <w:sz w:val="26"/>
          <w:szCs w:val="26"/>
        </w:rPr>
        <w:t xml:space="preserve">a cura di </w:t>
      </w:r>
      <w:proofErr w:type="spellStart"/>
      <w:r>
        <w:rPr>
          <w:sz w:val="26"/>
          <w:szCs w:val="26"/>
        </w:rPr>
        <w:t>B.G.</w:t>
      </w:r>
      <w:proofErr w:type="spellEnd"/>
      <w:r>
        <w:rPr>
          <w:sz w:val="26"/>
          <w:szCs w:val="26"/>
        </w:rPr>
        <w:t xml:space="preserve"> Mattarella e A. Natalini, Firenze, </w:t>
      </w:r>
      <w:proofErr w:type="spellStart"/>
      <w:r>
        <w:rPr>
          <w:sz w:val="26"/>
          <w:szCs w:val="26"/>
        </w:rPr>
        <w:t>Passigli</w:t>
      </w:r>
      <w:proofErr w:type="spellEnd"/>
      <w:r>
        <w:rPr>
          <w:sz w:val="26"/>
          <w:szCs w:val="26"/>
        </w:rPr>
        <w:t>, 2013, p. 171;</w:t>
      </w:r>
    </w:p>
    <w:p w:rsidR="009A0F07" w:rsidRPr="00597CB9" w:rsidRDefault="009A0F07" w:rsidP="009A0F07">
      <w:pPr>
        <w:numPr>
          <w:ilvl w:val="0"/>
          <w:numId w:val="1"/>
        </w:numPr>
        <w:spacing w:after="120"/>
        <w:ind w:left="714" w:hanging="357"/>
        <w:jc w:val="both"/>
        <w:rPr>
          <w:i/>
          <w:sz w:val="26"/>
          <w:szCs w:val="26"/>
        </w:rPr>
      </w:pPr>
      <w:r w:rsidRPr="00597CB9">
        <w:rPr>
          <w:i/>
          <w:sz w:val="26"/>
          <w:szCs w:val="26"/>
        </w:rPr>
        <w:lastRenderedPageBreak/>
        <w:t>Le politiche di coesione e la gestione dei fondi strutturali europei nella programmazione 2014-2020</w:t>
      </w:r>
      <w:r w:rsidRPr="00597CB9">
        <w:rPr>
          <w:sz w:val="26"/>
          <w:szCs w:val="26"/>
        </w:rPr>
        <w:t xml:space="preserve">, in </w:t>
      </w:r>
      <w:r w:rsidRPr="00597CB9">
        <w:rPr>
          <w:i/>
          <w:sz w:val="26"/>
          <w:szCs w:val="26"/>
        </w:rPr>
        <w:t xml:space="preserve">Giornale di diritto amministrativo, </w:t>
      </w:r>
      <w:r w:rsidRPr="004847CF">
        <w:rPr>
          <w:sz w:val="26"/>
          <w:szCs w:val="26"/>
        </w:rPr>
        <w:t xml:space="preserve">in </w:t>
      </w:r>
      <w:r w:rsidRPr="004847CF">
        <w:rPr>
          <w:i/>
          <w:sz w:val="26"/>
          <w:szCs w:val="26"/>
        </w:rPr>
        <w:t xml:space="preserve">Giornale di diritto amministrativo, </w:t>
      </w:r>
      <w:r w:rsidRPr="004847CF">
        <w:rPr>
          <w:sz w:val="26"/>
          <w:szCs w:val="26"/>
        </w:rPr>
        <w:t>n.</w:t>
      </w:r>
      <w:r>
        <w:rPr>
          <w:sz w:val="26"/>
          <w:szCs w:val="26"/>
        </w:rPr>
        <w:t>6</w:t>
      </w:r>
      <w:r w:rsidRPr="004847CF">
        <w:rPr>
          <w:sz w:val="26"/>
          <w:szCs w:val="26"/>
        </w:rPr>
        <w:t>/201</w:t>
      </w:r>
      <w:r>
        <w:rPr>
          <w:sz w:val="26"/>
          <w:szCs w:val="26"/>
        </w:rPr>
        <w:t>4</w:t>
      </w:r>
      <w:r w:rsidRPr="004847CF">
        <w:rPr>
          <w:sz w:val="26"/>
          <w:szCs w:val="26"/>
        </w:rPr>
        <w:t xml:space="preserve">, p. </w:t>
      </w:r>
      <w:r>
        <w:rPr>
          <w:sz w:val="26"/>
          <w:szCs w:val="26"/>
        </w:rPr>
        <w:t>563.</w:t>
      </w:r>
    </w:p>
    <w:p w:rsidR="009A0F07" w:rsidRPr="004847CF" w:rsidRDefault="009A0F07" w:rsidP="009A0F07">
      <w:pPr>
        <w:pStyle w:val="Titolo"/>
        <w:jc w:val="both"/>
        <w:rPr>
          <w:szCs w:val="26"/>
        </w:rPr>
      </w:pPr>
    </w:p>
    <w:p w:rsidR="00E454E1" w:rsidRDefault="00E454E1"/>
    <w:sectPr w:rsidR="00E454E1" w:rsidSect="00E45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31F"/>
    <w:multiLevelType w:val="hybridMultilevel"/>
    <w:tmpl w:val="52C81EE6"/>
    <w:lvl w:ilvl="0" w:tplc="9D3C7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DB4899"/>
    <w:rsid w:val="009A0F07"/>
    <w:rsid w:val="00DB4899"/>
    <w:rsid w:val="00E4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B4899"/>
    <w:pPr>
      <w:ind w:right="-1"/>
      <w:jc w:val="center"/>
    </w:pPr>
    <w:rPr>
      <w:sz w:val="26"/>
      <w:szCs w:val="20"/>
    </w:rPr>
  </w:style>
  <w:style w:type="character" w:customStyle="1" w:styleId="TitoloCarattere">
    <w:name w:val="Titolo Carattere"/>
    <w:basedOn w:val="Carpredefinitoparagrafo"/>
    <w:link w:val="Titolo"/>
    <w:rsid w:val="00DB489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9A0F07"/>
    <w:pPr>
      <w:jc w:val="both"/>
    </w:pPr>
    <w:rPr>
      <w:sz w:val="26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9A0F07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>Administrator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cnotarmuzi</dc:creator>
  <cp:lastModifiedBy>cnotarmuzi</cp:lastModifiedBy>
  <cp:revision>2</cp:revision>
  <dcterms:created xsi:type="dcterms:W3CDTF">2015-02-02T16:24:00Z</dcterms:created>
  <dcterms:modified xsi:type="dcterms:W3CDTF">2015-02-02T16:25:00Z</dcterms:modified>
</cp:coreProperties>
</file>