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9E" w:rsidRPr="004F489E" w:rsidRDefault="004F489E" w:rsidP="004F489E">
      <w:pPr>
        <w:jc w:val="center"/>
        <w:rPr>
          <w:b/>
          <w:color w:val="76923C"/>
          <w:sz w:val="32"/>
          <w:szCs w:val="22"/>
        </w:rPr>
      </w:pPr>
      <w:r w:rsidRPr="004F489E">
        <w:rPr>
          <w:b/>
          <w:color w:val="76923C"/>
          <w:sz w:val="32"/>
          <w:szCs w:val="22"/>
        </w:rPr>
        <w:t>Alessandra Miraglia</w:t>
      </w:r>
    </w:p>
    <w:p w:rsidR="004F489E" w:rsidRPr="004F489E" w:rsidRDefault="004F489E" w:rsidP="004F489E">
      <w:pPr>
        <w:jc w:val="center"/>
        <w:rPr>
          <w:i/>
          <w:color w:val="76923C"/>
          <w:sz w:val="32"/>
          <w:szCs w:val="22"/>
        </w:rPr>
      </w:pPr>
      <w:r>
        <w:rPr>
          <w:i/>
          <w:color w:val="76923C"/>
          <w:sz w:val="32"/>
          <w:szCs w:val="22"/>
        </w:rPr>
        <w:t>Pubblicazioni</w:t>
      </w:r>
    </w:p>
    <w:p w:rsidR="004D320E" w:rsidRDefault="004D320E"/>
    <w:tbl>
      <w:tblPr>
        <w:tblW w:w="88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2"/>
        <w:gridCol w:w="12"/>
        <w:gridCol w:w="6661"/>
        <w:gridCol w:w="50"/>
      </w:tblGrid>
      <w:tr w:rsidR="004F489E" w:rsidRPr="004F489E" w:rsidTr="004F489E">
        <w:trPr>
          <w:cantSplit/>
          <w:trHeight w:val="258"/>
        </w:trPr>
        <w:tc>
          <w:tcPr>
            <w:tcW w:w="8885" w:type="dxa"/>
            <w:gridSpan w:val="4"/>
            <w:hideMark/>
          </w:tcPr>
          <w:p w:rsidR="004D320E" w:rsidRPr="004F489E" w:rsidRDefault="004D320E" w:rsidP="00F2689D">
            <w:pPr>
              <w:pStyle w:val="Titolodellasezione"/>
              <w:tabs>
                <w:tab w:val="left" w:pos="4111"/>
              </w:tabs>
              <w:rPr>
                <w:color w:val="76923C" w:themeColor="accent3" w:themeShade="BF"/>
              </w:rPr>
            </w:pPr>
            <w:r w:rsidRPr="004F489E">
              <w:rPr>
                <w:color w:val="76923C" w:themeColor="accent3" w:themeShade="BF"/>
              </w:rPr>
              <w:t xml:space="preserve"> </w:t>
            </w:r>
            <w:r w:rsidR="00F2689D">
              <w:rPr>
                <w:color w:val="76923C" w:themeColor="accent3" w:themeShade="BF"/>
              </w:rPr>
              <w:t>contributi in volumi</w:t>
            </w:r>
            <w:r w:rsidR="004F489E" w:rsidRPr="004F489E">
              <w:rPr>
                <w:color w:val="76923C" w:themeColor="accent3" w:themeShade="BF"/>
              </w:rPr>
              <w:t xml:space="preserve"> e</w:t>
            </w:r>
            <w:r w:rsidRPr="004F489E">
              <w:rPr>
                <w:color w:val="76923C" w:themeColor="accent3" w:themeShade="BF"/>
              </w:rPr>
              <w:t xml:space="preserve"> articoli </w:t>
            </w:r>
          </w:p>
        </w:tc>
      </w:tr>
      <w:tr w:rsidR="004D320E" w:rsidTr="004F489E">
        <w:trPr>
          <w:trHeight w:val="1984"/>
        </w:trPr>
        <w:tc>
          <w:tcPr>
            <w:tcW w:w="2174" w:type="dxa"/>
            <w:gridSpan w:val="2"/>
          </w:tcPr>
          <w:p w:rsidR="004D320E" w:rsidRDefault="004D320E"/>
          <w:p w:rsidR="004D320E" w:rsidRPr="004D320E" w:rsidRDefault="004D320E" w:rsidP="004D320E"/>
          <w:p w:rsidR="004D320E" w:rsidRPr="004D320E" w:rsidRDefault="004D320E" w:rsidP="004D320E"/>
          <w:p w:rsidR="004D320E" w:rsidRPr="004D320E" w:rsidRDefault="004D320E" w:rsidP="004D320E"/>
          <w:p w:rsidR="004D320E" w:rsidRPr="004D320E" w:rsidRDefault="004D320E" w:rsidP="004D320E"/>
          <w:p w:rsidR="004D320E" w:rsidRPr="004D320E" w:rsidRDefault="004D320E" w:rsidP="004D320E"/>
          <w:p w:rsidR="004D320E" w:rsidRPr="004D320E" w:rsidRDefault="004D320E" w:rsidP="004D320E"/>
          <w:p w:rsidR="004D320E" w:rsidRPr="004D320E" w:rsidRDefault="004D320E" w:rsidP="004D320E"/>
          <w:p w:rsidR="004D320E" w:rsidRDefault="004D320E" w:rsidP="004D320E"/>
          <w:p w:rsidR="004D320E" w:rsidRDefault="004D320E" w:rsidP="004D320E"/>
          <w:p w:rsidR="004D320E" w:rsidRPr="004D320E" w:rsidRDefault="004D320E" w:rsidP="004D320E"/>
        </w:tc>
        <w:tc>
          <w:tcPr>
            <w:tcW w:w="6711" w:type="dxa"/>
            <w:gridSpan w:val="2"/>
          </w:tcPr>
          <w:p w:rsidR="004D320E" w:rsidRDefault="004D320E">
            <w:pPr>
              <w:pStyle w:val="Corpotesto"/>
            </w:pPr>
          </w:p>
          <w:p w:rsidR="004F489E" w:rsidRPr="004F489E" w:rsidRDefault="004F489E" w:rsidP="004F489E">
            <w:pPr>
              <w:pStyle w:val="Corpotesto"/>
              <w:rPr>
                <w:b/>
                <w:i/>
              </w:rPr>
            </w:pPr>
            <w:r w:rsidRPr="004F489E">
              <w:rPr>
                <w:i/>
              </w:rPr>
              <w:t>Tutela della concorrenza e sostenibilità del servizio universale postale</w:t>
            </w:r>
            <w:r w:rsidRPr="004F489E">
              <w:t xml:space="preserve">, </w:t>
            </w:r>
            <w:r w:rsidR="0070300D">
              <w:t xml:space="preserve">con </w:t>
            </w:r>
            <w:r w:rsidR="0070300D" w:rsidRPr="004F489E">
              <w:t xml:space="preserve">M.A. </w:t>
            </w:r>
            <w:proofErr w:type="spellStart"/>
            <w:r w:rsidR="0070300D" w:rsidRPr="004F489E">
              <w:t>Impinna</w:t>
            </w:r>
            <w:proofErr w:type="spellEnd"/>
            <w:r w:rsidR="0070300D">
              <w:t>,</w:t>
            </w:r>
            <w:r w:rsidR="0070300D">
              <w:t xml:space="preserve"> </w:t>
            </w:r>
            <w:r w:rsidRPr="004F489E">
              <w:t xml:space="preserve">in G. Napolitano (a cura di), </w:t>
            </w:r>
            <w:r w:rsidRPr="004F489E">
              <w:rPr>
                <w:i/>
              </w:rPr>
              <w:t>La regolazione del settore postale nell’era digitale</w:t>
            </w:r>
            <w:r w:rsidRPr="004F489E">
              <w:t xml:space="preserve">, Napoli, Editoriale scientifica, 2015, (Rapporto dell’Istituto di Ricerche sulla Pubblica Amministrazione – </w:t>
            </w:r>
            <w:proofErr w:type="spellStart"/>
            <w:r w:rsidRPr="004F489E">
              <w:t>Irpa</w:t>
            </w:r>
            <w:proofErr w:type="spellEnd"/>
            <w:r w:rsidRPr="004F489E">
              <w:t>, 2/2015), pp. 155-187</w:t>
            </w:r>
            <w:bookmarkStart w:id="0" w:name="_GoBack"/>
            <w:bookmarkEnd w:id="0"/>
          </w:p>
          <w:p w:rsidR="004F489E" w:rsidRPr="004F489E" w:rsidRDefault="004F489E" w:rsidP="004F489E">
            <w:pPr>
              <w:pStyle w:val="Corpotesto"/>
            </w:pPr>
            <w:r w:rsidRPr="004F489E">
              <w:rPr>
                <w:i/>
              </w:rPr>
              <w:t>Le imprese artigiane</w:t>
            </w:r>
            <w:r w:rsidRPr="004F489E">
              <w:t xml:space="preserve">, in B.G. Mattarella, A. </w:t>
            </w:r>
            <w:proofErr w:type="spellStart"/>
            <w:r w:rsidRPr="004F489E">
              <w:t>Natalini</w:t>
            </w:r>
            <w:proofErr w:type="spellEnd"/>
            <w:r w:rsidRPr="004F489E">
              <w:t xml:space="preserve"> (a cura di) </w:t>
            </w:r>
            <w:r w:rsidRPr="004F489E">
              <w:rPr>
                <w:i/>
              </w:rPr>
              <w:t>La regolazione intelligente. Un bilancio critico delle liberalizzazioni italiane</w:t>
            </w:r>
            <w:r w:rsidRPr="004F489E">
              <w:t xml:space="preserve">, Firenze, </w:t>
            </w:r>
            <w:proofErr w:type="spellStart"/>
            <w:r w:rsidRPr="004F489E">
              <w:t>Passigli</w:t>
            </w:r>
            <w:proofErr w:type="spellEnd"/>
            <w:r w:rsidRPr="004F489E">
              <w:t xml:space="preserve"> Editori, 2013, pp. 185-197</w:t>
            </w:r>
          </w:p>
          <w:p w:rsidR="004F489E" w:rsidRPr="004F489E" w:rsidRDefault="004F489E" w:rsidP="004F489E">
            <w:pPr>
              <w:pStyle w:val="Corpotesto"/>
            </w:pPr>
            <w:r w:rsidRPr="004F489E">
              <w:rPr>
                <w:i/>
              </w:rPr>
              <w:t>Gli affidamenti alle cooperative sociali: le regole e le deroghe</w:t>
            </w:r>
            <w:r w:rsidRPr="004F489E">
              <w:t xml:space="preserve">, in </w:t>
            </w:r>
            <w:r w:rsidRPr="004F489E">
              <w:rPr>
                <w:i/>
              </w:rPr>
              <w:t>Giornale di Diritto Amministrativo</w:t>
            </w:r>
            <w:r w:rsidRPr="004F489E">
              <w:t>, 2011, n. 2, pp. 149-156</w:t>
            </w:r>
          </w:p>
          <w:p w:rsidR="004F489E" w:rsidRPr="004F489E" w:rsidRDefault="004F489E" w:rsidP="004F489E">
            <w:pPr>
              <w:pStyle w:val="Corpotesto"/>
            </w:pPr>
            <w:r w:rsidRPr="004F489E">
              <w:rPr>
                <w:i/>
              </w:rPr>
              <w:t>Un piano quinquennale per rilanciare l’economia nel Regno Unito</w:t>
            </w:r>
            <w:r w:rsidRPr="004F489E">
              <w:t xml:space="preserve">, in </w:t>
            </w:r>
            <w:r w:rsidRPr="004F489E">
              <w:rPr>
                <w:i/>
              </w:rPr>
              <w:t>Giornale di Diritto Amministrativo</w:t>
            </w:r>
            <w:r w:rsidRPr="004F489E">
              <w:t>, 2010, n. 12, pp. 1312-1315</w:t>
            </w:r>
          </w:p>
          <w:p w:rsidR="004F489E" w:rsidRPr="004F489E" w:rsidRDefault="004F489E" w:rsidP="004F489E">
            <w:pPr>
              <w:pStyle w:val="Corpotesto"/>
            </w:pPr>
            <w:r w:rsidRPr="004F489E">
              <w:rPr>
                <w:i/>
              </w:rPr>
              <w:t>La Spagna</w:t>
            </w:r>
            <w:r w:rsidRPr="004F489E">
              <w:t xml:space="preserve">, in </w:t>
            </w:r>
            <w:r w:rsidRPr="004F489E">
              <w:rPr>
                <w:i/>
              </w:rPr>
              <w:t>Rapporto finale ISBUL</w:t>
            </w:r>
            <w:r w:rsidRPr="004F489E">
              <w:t xml:space="preserve"> (Infrastrutture e Servizi a Banda Larga e Ultra Larga) - WP 3.1 Semplificazione amministrativa, 2009, pp. 136-143, reperibile sul sito internet www.progettoisbul.net </w:t>
            </w:r>
          </w:p>
          <w:p w:rsidR="004D320E" w:rsidRDefault="004D320E" w:rsidP="004D320E">
            <w:pPr>
              <w:pStyle w:val="Corpotesto"/>
            </w:pPr>
          </w:p>
        </w:tc>
      </w:tr>
      <w:tr w:rsidR="004F489E" w:rsidRPr="004F489E" w:rsidTr="004F489E">
        <w:trPr>
          <w:gridAfter w:val="1"/>
          <w:wAfter w:w="50" w:type="dxa"/>
          <w:cantSplit/>
        </w:trPr>
        <w:tc>
          <w:tcPr>
            <w:tcW w:w="8835" w:type="dxa"/>
            <w:gridSpan w:val="3"/>
            <w:hideMark/>
          </w:tcPr>
          <w:p w:rsidR="004D320E" w:rsidRPr="004F489E" w:rsidRDefault="004D320E" w:rsidP="004D320E">
            <w:pPr>
              <w:pStyle w:val="Titolodellasezione"/>
              <w:tabs>
                <w:tab w:val="left" w:pos="4111"/>
              </w:tabs>
              <w:rPr>
                <w:color w:val="76923C" w:themeColor="accent3" w:themeShade="BF"/>
              </w:rPr>
            </w:pPr>
            <w:r w:rsidRPr="004F489E">
              <w:rPr>
                <w:color w:val="76923C" w:themeColor="accent3" w:themeShade="BF"/>
              </w:rPr>
              <w:t xml:space="preserve"> resoconti di convegni </w:t>
            </w:r>
            <w:r w:rsidR="004F489E" w:rsidRPr="004F489E">
              <w:rPr>
                <w:color w:val="76923C" w:themeColor="accent3" w:themeShade="BF"/>
              </w:rPr>
              <w:t>e Notizie</w:t>
            </w:r>
          </w:p>
        </w:tc>
      </w:tr>
      <w:tr w:rsidR="004D320E" w:rsidTr="004F489E">
        <w:trPr>
          <w:gridAfter w:val="1"/>
          <w:wAfter w:w="50" w:type="dxa"/>
        </w:trPr>
        <w:tc>
          <w:tcPr>
            <w:tcW w:w="2162" w:type="dxa"/>
          </w:tcPr>
          <w:p w:rsidR="004D320E" w:rsidRDefault="004D320E" w:rsidP="006F13D7"/>
          <w:p w:rsidR="004D320E" w:rsidRPr="004D320E" w:rsidRDefault="004D320E" w:rsidP="006F13D7"/>
          <w:p w:rsidR="004D320E" w:rsidRPr="004D320E" w:rsidRDefault="004D320E" w:rsidP="006F13D7"/>
          <w:p w:rsidR="004D320E" w:rsidRPr="004D320E" w:rsidRDefault="004D320E" w:rsidP="006F13D7"/>
          <w:p w:rsidR="004D320E" w:rsidRPr="004D320E" w:rsidRDefault="004D320E" w:rsidP="006F13D7"/>
          <w:p w:rsidR="004D320E" w:rsidRPr="004D320E" w:rsidRDefault="004D320E" w:rsidP="006F13D7"/>
          <w:p w:rsidR="004D320E" w:rsidRPr="004D320E" w:rsidRDefault="004D320E" w:rsidP="006F13D7"/>
          <w:p w:rsidR="004D320E" w:rsidRPr="004D320E" w:rsidRDefault="004D320E" w:rsidP="006F13D7"/>
          <w:p w:rsidR="004D320E" w:rsidRDefault="004D320E" w:rsidP="006F13D7"/>
          <w:p w:rsidR="004D320E" w:rsidRDefault="004D320E" w:rsidP="006F13D7"/>
          <w:p w:rsidR="004D320E" w:rsidRPr="004D320E" w:rsidRDefault="004D320E" w:rsidP="006F13D7"/>
        </w:tc>
        <w:tc>
          <w:tcPr>
            <w:tcW w:w="6673" w:type="dxa"/>
            <w:gridSpan w:val="2"/>
          </w:tcPr>
          <w:p w:rsidR="004D320E" w:rsidRDefault="004D320E" w:rsidP="006F13D7">
            <w:pPr>
              <w:pStyle w:val="Corpotesto"/>
            </w:pPr>
          </w:p>
          <w:p w:rsidR="002F663E" w:rsidRDefault="002F663E" w:rsidP="006F13D7">
            <w:pPr>
              <w:pStyle w:val="Corpotesto"/>
            </w:pPr>
            <w:r>
              <w:rPr>
                <w:i/>
                <w:lang w:eastAsia="x-none"/>
              </w:rPr>
              <w:t>Regole e mercato delle energie rinnovabili,</w:t>
            </w:r>
            <w:r>
              <w:t xml:space="preserve"> in </w:t>
            </w:r>
            <w:r>
              <w:rPr>
                <w:i/>
              </w:rPr>
              <w:t>Rivista Trimestrale di Diritto Pubblico</w:t>
            </w:r>
            <w:r>
              <w:t xml:space="preserve">, n. 2, 2012, </w:t>
            </w:r>
            <w:r>
              <w:rPr>
                <w:i/>
              </w:rPr>
              <w:t>Notizie</w:t>
            </w:r>
            <w:r>
              <w:t>, pp.</w:t>
            </w:r>
          </w:p>
          <w:p w:rsidR="004D320E" w:rsidRDefault="004D320E" w:rsidP="006F13D7">
            <w:pPr>
              <w:pStyle w:val="Corpotesto"/>
            </w:pPr>
            <w:r>
              <w:rPr>
                <w:i/>
              </w:rPr>
              <w:t>Il regime giuridico delle infrastrutture dell'energia</w:t>
            </w:r>
            <w:r>
              <w:t xml:space="preserve">, in </w:t>
            </w:r>
            <w:r>
              <w:rPr>
                <w:i/>
              </w:rPr>
              <w:t>Rivista Trimestrale di Diritto Pubblico</w:t>
            </w:r>
            <w:r>
              <w:t xml:space="preserve">, n. 3, 2011, </w:t>
            </w:r>
            <w:r>
              <w:rPr>
                <w:i/>
              </w:rPr>
              <w:t>Notizie</w:t>
            </w:r>
            <w:r>
              <w:t>, pp. 895 e ss.</w:t>
            </w:r>
          </w:p>
          <w:p w:rsidR="004D320E" w:rsidRDefault="004D320E" w:rsidP="006F13D7">
            <w:pPr>
              <w:pStyle w:val="Corpotesto"/>
            </w:pPr>
            <w:r>
              <w:rPr>
                <w:i/>
              </w:rPr>
              <w:t>Una conferenza sul diritto dell'energia nucleare</w:t>
            </w:r>
            <w:r>
              <w:t xml:space="preserve">, in </w:t>
            </w:r>
            <w:r>
              <w:rPr>
                <w:i/>
              </w:rPr>
              <w:t>Rivista Trimestrale di Diritto Pubblico</w:t>
            </w:r>
            <w:r>
              <w:t xml:space="preserve">, n. 3, 2010, </w:t>
            </w:r>
            <w:r>
              <w:rPr>
                <w:i/>
              </w:rPr>
              <w:t>Notizie</w:t>
            </w:r>
            <w:r>
              <w:t>, pp. 903 e ss.</w:t>
            </w:r>
          </w:p>
          <w:p w:rsidR="004D320E" w:rsidRDefault="004D320E" w:rsidP="006F13D7"/>
        </w:tc>
      </w:tr>
    </w:tbl>
    <w:p w:rsidR="004D320E" w:rsidRDefault="004D320E"/>
    <w:sectPr w:rsidR="004D32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F21"/>
    <w:multiLevelType w:val="hybridMultilevel"/>
    <w:tmpl w:val="C65C75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2D"/>
    <w:rsid w:val="00121F13"/>
    <w:rsid w:val="002F663E"/>
    <w:rsid w:val="00434F60"/>
    <w:rsid w:val="004D320E"/>
    <w:rsid w:val="004F489E"/>
    <w:rsid w:val="0070300D"/>
    <w:rsid w:val="00BF4A2D"/>
    <w:rsid w:val="00F2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320E"/>
    <w:pPr>
      <w:spacing w:after="0" w:line="240" w:lineRule="auto"/>
      <w:jc w:val="both"/>
    </w:pPr>
    <w:rPr>
      <w:rFonts w:ascii="Garamond" w:eastAsia="Times New Roman" w:hAnsi="Garamond" w:cs="Times New Roman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4D320E"/>
    <w:pPr>
      <w:spacing w:after="220" w:line="240" w:lineRule="atLeast"/>
    </w:pPr>
  </w:style>
  <w:style w:type="character" w:customStyle="1" w:styleId="CorpotestoCarattere">
    <w:name w:val="Corpo testo Carattere"/>
    <w:basedOn w:val="Carpredefinitoparagrafo"/>
    <w:link w:val="Corpotesto"/>
    <w:semiHidden/>
    <w:rsid w:val="004D320E"/>
    <w:rPr>
      <w:rFonts w:ascii="Garamond" w:eastAsia="Times New Roman" w:hAnsi="Garamond" w:cs="Times New Roman"/>
      <w:sz w:val="22"/>
      <w:szCs w:val="20"/>
      <w:lang w:eastAsia="it-IT"/>
    </w:rPr>
  </w:style>
  <w:style w:type="paragraph" w:customStyle="1" w:styleId="Titolodellasezione">
    <w:name w:val="Titolo della sezione"/>
    <w:basedOn w:val="Normale"/>
    <w:next w:val="Normale"/>
    <w:rsid w:val="004D320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320E"/>
    <w:pPr>
      <w:spacing w:after="0" w:line="240" w:lineRule="auto"/>
      <w:jc w:val="both"/>
    </w:pPr>
    <w:rPr>
      <w:rFonts w:ascii="Garamond" w:eastAsia="Times New Roman" w:hAnsi="Garamond" w:cs="Times New Roman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4D320E"/>
    <w:pPr>
      <w:spacing w:after="220" w:line="240" w:lineRule="atLeast"/>
    </w:pPr>
  </w:style>
  <w:style w:type="character" w:customStyle="1" w:styleId="CorpotestoCarattere">
    <w:name w:val="Corpo testo Carattere"/>
    <w:basedOn w:val="Carpredefinitoparagrafo"/>
    <w:link w:val="Corpotesto"/>
    <w:semiHidden/>
    <w:rsid w:val="004D320E"/>
    <w:rPr>
      <w:rFonts w:ascii="Garamond" w:eastAsia="Times New Roman" w:hAnsi="Garamond" w:cs="Times New Roman"/>
      <w:sz w:val="22"/>
      <w:szCs w:val="20"/>
      <w:lang w:eastAsia="it-IT"/>
    </w:rPr>
  </w:style>
  <w:style w:type="paragraph" w:customStyle="1" w:styleId="Titolodellasezione">
    <w:name w:val="Titolo della sezione"/>
    <w:basedOn w:val="Normale"/>
    <w:next w:val="Normale"/>
    <w:rsid w:val="004D320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7</cp:revision>
  <dcterms:created xsi:type="dcterms:W3CDTF">2012-03-05T08:17:00Z</dcterms:created>
  <dcterms:modified xsi:type="dcterms:W3CDTF">2016-02-19T15:12:00Z</dcterms:modified>
</cp:coreProperties>
</file>