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B1FD4" w14:textId="60487AE0" w:rsidR="00A56413" w:rsidRPr="00662176" w:rsidRDefault="00A56413" w:rsidP="00384F94">
      <w:pPr>
        <w:pStyle w:val="Titolo2"/>
        <w:spacing w:before="120" w:after="120" w:line="360" w:lineRule="auto"/>
        <w:jc w:val="center"/>
        <w:rPr>
          <w:rStyle w:val="Enfasicorsivo"/>
          <w:i w:val="0"/>
          <w:iCs w:val="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LIST OF PUBLICATIONS</w:t>
      </w:r>
      <w:r w:rsidR="00384F94">
        <w:rPr>
          <w:sz w:val="22"/>
          <w:szCs w:val="22"/>
          <w:lang w:val="en-GB"/>
        </w:rPr>
        <w:t>, Gianluca Sgueo</w:t>
      </w:r>
      <w:bookmarkStart w:id="0" w:name="_GoBack"/>
      <w:bookmarkEnd w:id="0"/>
    </w:p>
    <w:p w14:paraId="2B50CF93" w14:textId="77777777" w:rsidR="00A56413" w:rsidRPr="008148E7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iCs w:val="0"/>
          <w:color w:val="000000"/>
          <w:sz w:val="22"/>
          <w:szCs w:val="22"/>
          <w:u w:val="single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Books</w:t>
      </w:r>
      <w:r w:rsidRPr="008148E7">
        <w:rPr>
          <w:rStyle w:val="Enfasicorsivo"/>
          <w:b/>
          <w:color w:val="000000"/>
          <w:sz w:val="22"/>
          <w:szCs w:val="22"/>
          <w:u w:val="single"/>
          <w:lang w:val="en-GB"/>
        </w:rPr>
        <w:t>:</w:t>
      </w:r>
    </w:p>
    <w:p w14:paraId="5637FFC9" w14:textId="77777777" w:rsidR="00A56413" w:rsidRPr="00B06A26" w:rsidRDefault="00A56413" w:rsidP="00A56413">
      <w:pPr>
        <w:pStyle w:val="OiaeaeiYiio2"/>
        <w:widowControl/>
        <w:numPr>
          <w:ilvl w:val="0"/>
          <w:numId w:val="4"/>
        </w:numPr>
        <w:spacing w:before="20" w:after="20"/>
        <w:ind w:left="284" w:hanging="284"/>
        <w:jc w:val="both"/>
        <w:rPr>
          <w:rStyle w:val="Enfasicorsivo"/>
          <w:i/>
          <w:iCs w:val="0"/>
          <w:color w:val="000000"/>
          <w:sz w:val="22"/>
          <w:szCs w:val="22"/>
          <w:lang w:val="en-GB"/>
        </w:rPr>
      </w:pPr>
      <w:r>
        <w:rPr>
          <w:rStyle w:val="Enfasicorsivo"/>
          <w:iCs w:val="0"/>
          <w:color w:val="000000"/>
          <w:sz w:val="22"/>
          <w:szCs w:val="22"/>
          <w:lang w:val="en-GB"/>
        </w:rPr>
        <w:t>Games, Powers &amp; Democracies, Bocconi University Press, June 2018</w:t>
      </w:r>
    </w:p>
    <w:p w14:paraId="3D5CA380" w14:textId="77777777" w:rsidR="00A56413" w:rsidRDefault="00A56413" w:rsidP="00A56413">
      <w:pPr>
        <w:pStyle w:val="OiaeaeiYiio2"/>
        <w:widowControl/>
        <w:numPr>
          <w:ilvl w:val="0"/>
          <w:numId w:val="4"/>
        </w:numPr>
        <w:spacing w:before="20" w:after="20"/>
        <w:ind w:left="284" w:hanging="284"/>
        <w:jc w:val="both"/>
        <w:rPr>
          <w:rStyle w:val="Enfasicorsivo"/>
          <w:i/>
          <w:iCs w:val="0"/>
          <w:color w:val="000000"/>
          <w:sz w:val="22"/>
          <w:szCs w:val="22"/>
          <w:lang w:val="en-GB"/>
        </w:rPr>
      </w:pPr>
      <w:r w:rsidRPr="00662176">
        <w:rPr>
          <w:rStyle w:val="Enfasicorsivo"/>
          <w:color w:val="000000"/>
          <w:sz w:val="22"/>
          <w:szCs w:val="22"/>
          <w:lang w:val="en-GB"/>
        </w:rPr>
        <w:t xml:space="preserve">Beyond Networks. </w:t>
      </w:r>
      <w:r>
        <w:rPr>
          <w:rStyle w:val="Enfasicorsivo"/>
          <w:color w:val="000000"/>
          <w:sz w:val="22"/>
          <w:szCs w:val="22"/>
          <w:lang w:val="en-GB"/>
        </w:rPr>
        <w:t>Interlocutory</w:t>
      </w:r>
      <w:r w:rsidRPr="00662176">
        <w:rPr>
          <w:rStyle w:val="Enfasicorsivo"/>
          <w:color w:val="000000"/>
          <w:sz w:val="22"/>
          <w:szCs w:val="22"/>
          <w:lang w:val="en-GB"/>
        </w:rPr>
        <w:t xml:space="preserve"> coalitions, the European and the global legal orders</w:t>
      </w:r>
      <w:r>
        <w:rPr>
          <w:rStyle w:val="Enfasicorsivo"/>
          <w:color w:val="000000"/>
          <w:sz w:val="22"/>
          <w:szCs w:val="22"/>
          <w:lang w:val="en-GB"/>
        </w:rPr>
        <w:t>, Springer, 2016;</w:t>
      </w:r>
    </w:p>
    <w:p w14:paraId="25F94B68" w14:textId="77777777" w:rsidR="00A56413" w:rsidRDefault="00A56413" w:rsidP="00A56413">
      <w:pPr>
        <w:pStyle w:val="OiaeaeiYiio2"/>
        <w:widowControl/>
        <w:numPr>
          <w:ilvl w:val="0"/>
          <w:numId w:val="4"/>
        </w:numPr>
        <w:spacing w:before="20" w:after="20"/>
        <w:ind w:left="284" w:hanging="284"/>
        <w:jc w:val="both"/>
        <w:rPr>
          <w:rStyle w:val="Enfasicorsivo"/>
          <w:i/>
          <w:iCs w:val="0"/>
          <w:color w:val="000000"/>
          <w:sz w:val="22"/>
          <w:szCs w:val="22"/>
          <w:lang w:val="en-GB"/>
        </w:rPr>
      </w:pPr>
      <w:r w:rsidRPr="001A001D">
        <w:rPr>
          <w:rStyle w:val="Enfasicorsivo"/>
          <w:i/>
          <w:color w:val="000000"/>
          <w:sz w:val="22"/>
          <w:szCs w:val="22"/>
          <w:lang w:val="en-GB"/>
        </w:rPr>
        <w:t>Lobbying &amp; lobbismi. Le regole del gioco in una democrazia reale</w:t>
      </w:r>
      <w:r w:rsidRPr="001A001D">
        <w:rPr>
          <w:rStyle w:val="Enfasicorsivo"/>
          <w:b/>
          <w:color w:val="000000"/>
          <w:sz w:val="22"/>
          <w:szCs w:val="22"/>
          <w:lang w:val="en-GB"/>
        </w:rPr>
        <w:t xml:space="preserve">, </w:t>
      </w:r>
      <w:r w:rsidRPr="001A001D">
        <w:rPr>
          <w:rStyle w:val="Enfasicorsivo"/>
          <w:color w:val="000000"/>
          <w:sz w:val="22"/>
          <w:szCs w:val="22"/>
          <w:lang w:val="en-GB"/>
        </w:rPr>
        <w:t>Bocconi Universit</w:t>
      </w:r>
      <w:r>
        <w:rPr>
          <w:rStyle w:val="Enfasicorsivo"/>
          <w:color w:val="000000"/>
          <w:sz w:val="22"/>
          <w:szCs w:val="22"/>
          <w:lang w:val="en-GB"/>
        </w:rPr>
        <w:t xml:space="preserve">y Press, </w:t>
      </w:r>
      <w:r w:rsidRPr="001A001D">
        <w:rPr>
          <w:rStyle w:val="Enfasicorsivo"/>
          <w:color w:val="000000"/>
          <w:sz w:val="22"/>
          <w:szCs w:val="22"/>
          <w:lang w:val="en-GB"/>
        </w:rPr>
        <w:t>2012;</w:t>
      </w:r>
    </w:p>
    <w:p w14:paraId="67CE8974" w14:textId="77777777" w:rsidR="00A56413" w:rsidRPr="001A001D" w:rsidRDefault="00A56413" w:rsidP="00A56413">
      <w:pPr>
        <w:pStyle w:val="OiaeaeiYiio2"/>
        <w:widowControl/>
        <w:numPr>
          <w:ilvl w:val="0"/>
          <w:numId w:val="4"/>
        </w:numPr>
        <w:spacing w:before="20" w:after="20"/>
        <w:ind w:left="284" w:hanging="284"/>
        <w:jc w:val="both"/>
        <w:rPr>
          <w:rStyle w:val="Enfasicorsivo"/>
          <w:i/>
          <w:iCs w:val="0"/>
          <w:color w:val="000000"/>
          <w:sz w:val="22"/>
          <w:szCs w:val="22"/>
          <w:lang w:val="en-GB"/>
        </w:rPr>
      </w:pPr>
      <w:r w:rsidRPr="001A001D">
        <w:rPr>
          <w:rStyle w:val="Enfasicorsivo"/>
          <w:i/>
          <w:color w:val="000000"/>
          <w:sz w:val="22"/>
          <w:szCs w:val="22"/>
          <w:lang w:val="en-GB"/>
        </w:rPr>
        <w:t>Esperimenti di democrazia globale</w:t>
      </w:r>
      <w:r w:rsidRPr="001A001D">
        <w:rPr>
          <w:rStyle w:val="Enfasicorsivo"/>
          <w:b/>
          <w:color w:val="000000"/>
          <w:sz w:val="22"/>
          <w:szCs w:val="22"/>
          <w:lang w:val="en-GB"/>
        </w:rPr>
        <w:t xml:space="preserve">, </w:t>
      </w:r>
      <w:r>
        <w:rPr>
          <w:rStyle w:val="Enfasicorsivo"/>
          <w:color w:val="000000"/>
          <w:sz w:val="22"/>
          <w:szCs w:val="22"/>
          <w:lang w:val="en-GB"/>
        </w:rPr>
        <w:t>Rubbettino,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 2011.</w:t>
      </w:r>
    </w:p>
    <w:p w14:paraId="797C1B93" w14:textId="77777777" w:rsidR="00A56413" w:rsidRPr="008148E7" w:rsidRDefault="00A56413" w:rsidP="00A56413">
      <w:pPr>
        <w:pStyle w:val="OiaeaeiYiio2"/>
        <w:widowControl/>
        <w:spacing w:before="20" w:after="20"/>
        <w:jc w:val="both"/>
        <w:rPr>
          <w:rStyle w:val="Enfasicorsivo"/>
          <w:iCs w:val="0"/>
          <w:color w:val="000000"/>
          <w:sz w:val="22"/>
          <w:szCs w:val="22"/>
          <w:lang w:val="en-GB"/>
        </w:rPr>
      </w:pPr>
    </w:p>
    <w:p w14:paraId="293AE0F2" w14:textId="77777777" w:rsidR="00A56413" w:rsidRPr="00662176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iCs w:val="0"/>
          <w:color w:val="000000"/>
          <w:sz w:val="22"/>
          <w:szCs w:val="22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Editor</w:t>
      </w:r>
      <w:r w:rsidRPr="008148E7">
        <w:rPr>
          <w:rStyle w:val="Enfasicorsivo"/>
          <w:b/>
          <w:color w:val="000000"/>
          <w:sz w:val="22"/>
          <w:szCs w:val="22"/>
          <w:lang w:val="en-GB"/>
        </w:rPr>
        <w:t>:</w:t>
      </w:r>
    </w:p>
    <w:p w14:paraId="52D47835" w14:textId="77777777" w:rsidR="00A56413" w:rsidRDefault="00A56413" w:rsidP="00A56413">
      <w:pPr>
        <w:pStyle w:val="OiaeaeiYiio2"/>
        <w:widowControl/>
        <w:numPr>
          <w:ilvl w:val="0"/>
          <w:numId w:val="5"/>
        </w:numPr>
        <w:spacing w:before="20" w:after="20"/>
        <w:ind w:left="426" w:hanging="426"/>
        <w:jc w:val="both"/>
        <w:rPr>
          <w:rStyle w:val="Enfasicorsivo"/>
          <w:iCs w:val="0"/>
          <w:color w:val="000000"/>
          <w:sz w:val="22"/>
          <w:szCs w:val="22"/>
          <w:lang w:val="en-GB"/>
        </w:rPr>
      </w:pPr>
      <w:r w:rsidRPr="00662176">
        <w:rPr>
          <w:rStyle w:val="Enfasicorsivo"/>
          <w:color w:val="000000"/>
          <w:sz w:val="22"/>
          <w:szCs w:val="22"/>
          <w:lang w:val="en-GB"/>
        </w:rPr>
        <w:t>Rethinking Urban Inclusion. Spaces Mobilizations, Interventions</w:t>
      </w:r>
      <w:r w:rsidRPr="008148E7">
        <w:rPr>
          <w:rStyle w:val="Enfasicorsivo"/>
          <w:color w:val="000000"/>
          <w:sz w:val="22"/>
          <w:szCs w:val="22"/>
          <w:lang w:val="en-GB"/>
        </w:rPr>
        <w:t>, Center for Social Studies, University of Coimbra, II, 2013;</w:t>
      </w:r>
    </w:p>
    <w:p w14:paraId="3C14705B" w14:textId="77777777" w:rsidR="00A56413" w:rsidRPr="001A001D" w:rsidRDefault="00A56413" w:rsidP="00A56413">
      <w:pPr>
        <w:pStyle w:val="OiaeaeiYiio2"/>
        <w:widowControl/>
        <w:numPr>
          <w:ilvl w:val="0"/>
          <w:numId w:val="5"/>
        </w:numPr>
        <w:spacing w:before="20" w:after="20"/>
        <w:ind w:left="426" w:hanging="426"/>
        <w:jc w:val="both"/>
        <w:rPr>
          <w:rStyle w:val="Enfasicorsivo"/>
          <w:iCs w:val="0"/>
          <w:color w:val="000000"/>
          <w:sz w:val="22"/>
          <w:szCs w:val="22"/>
          <w:lang w:val="en-GB"/>
        </w:rPr>
      </w:pPr>
      <w:r w:rsidRPr="001A001D">
        <w:rPr>
          <w:rStyle w:val="Enfasicorsivo"/>
          <w:i/>
          <w:color w:val="000000"/>
          <w:sz w:val="22"/>
          <w:szCs w:val="22"/>
          <w:lang w:val="en-GB"/>
        </w:rPr>
        <w:t>Lobby. La rappresentanza di interessi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 – </w:t>
      </w:r>
      <w:r w:rsidRPr="001A001D">
        <w:rPr>
          <w:rStyle w:val="Enfasicorsivo"/>
          <w:iCs w:val="0"/>
          <w:smallCaps/>
          <w:color w:val="000000"/>
          <w:sz w:val="22"/>
          <w:szCs w:val="22"/>
          <w:lang w:val="en-GB"/>
        </w:rPr>
        <w:t>Bocconi University, RULES - Research Unit on Law and Economics</w:t>
      </w:r>
      <w:r w:rsidRPr="001A001D">
        <w:rPr>
          <w:rStyle w:val="Enfasicorsivo"/>
          <w:color w:val="000000"/>
          <w:sz w:val="22"/>
          <w:szCs w:val="22"/>
          <w:lang w:val="en-GB"/>
        </w:rPr>
        <w:t>, 2013.</w:t>
      </w:r>
    </w:p>
    <w:p w14:paraId="77272A7F" w14:textId="77777777" w:rsidR="00A56413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iCs w:val="0"/>
          <w:color w:val="000000"/>
          <w:sz w:val="22"/>
          <w:szCs w:val="22"/>
          <w:u w:val="single"/>
          <w:lang w:val="en-GB"/>
        </w:rPr>
      </w:pPr>
    </w:p>
    <w:p w14:paraId="3496495E" w14:textId="77777777" w:rsidR="00A56413" w:rsidRPr="006006B7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iCs w:val="0"/>
          <w:color w:val="000000"/>
          <w:sz w:val="22"/>
          <w:szCs w:val="22"/>
          <w:u w:val="single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Chapters in Books</w:t>
      </w:r>
      <w:r w:rsidRPr="008148E7">
        <w:rPr>
          <w:rStyle w:val="Enfasicorsivo"/>
          <w:b/>
          <w:color w:val="000000"/>
          <w:sz w:val="22"/>
          <w:szCs w:val="22"/>
          <w:u w:val="single"/>
          <w:lang w:val="en-GB"/>
        </w:rPr>
        <w:t>:</w:t>
      </w:r>
    </w:p>
    <w:p w14:paraId="04895F1D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en-GB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Oltre i confini nazionali. L’impatto delle lobbies sull’Unione Europea</w:t>
      </w:r>
      <w:r w:rsidRPr="00610C49">
        <w:rPr>
          <w:rStyle w:val="Enfasicorsivo"/>
          <w:color w:val="000000"/>
          <w:sz w:val="22"/>
          <w:szCs w:val="22"/>
          <w:lang w:val="en-GB"/>
        </w:rPr>
        <w:t xml:space="preserve">, in </w:t>
      </w:r>
      <w:r w:rsidRPr="001A001D">
        <w:rPr>
          <w:rStyle w:val="Enfasicorsivo"/>
          <w:iCs w:val="0"/>
          <w:smallCaps/>
          <w:color w:val="000000"/>
          <w:sz w:val="22"/>
          <w:szCs w:val="22"/>
          <w:lang w:val="en-GB"/>
        </w:rPr>
        <w:t>G. Macri</w:t>
      </w:r>
      <w:r>
        <w:rPr>
          <w:rStyle w:val="Enfasicorsivo"/>
          <w:color w:val="000000"/>
          <w:sz w:val="22"/>
          <w:szCs w:val="22"/>
          <w:lang w:val="en-GB"/>
        </w:rPr>
        <w:t xml:space="preserve"> (</w:t>
      </w:r>
      <w:r w:rsidRPr="001A001D">
        <w:rPr>
          <w:rStyle w:val="Enfasicorsivo"/>
          <w:i/>
          <w:color w:val="000000"/>
          <w:sz w:val="22"/>
          <w:szCs w:val="22"/>
          <w:lang w:val="en-GB"/>
        </w:rPr>
        <w:t>ed.</w:t>
      </w:r>
      <w:r>
        <w:rPr>
          <w:rStyle w:val="Enfasicorsivo"/>
          <w:color w:val="000000"/>
          <w:sz w:val="22"/>
          <w:szCs w:val="22"/>
          <w:lang w:val="en-GB"/>
        </w:rPr>
        <w:t xml:space="preserve">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 xml:space="preserve">Democrazia degli interessi e attività di lobbying, </w:t>
      </w:r>
      <w:r w:rsidRPr="001A001D">
        <w:rPr>
          <w:rStyle w:val="Enfasicorsivo"/>
          <w:color w:val="000000"/>
          <w:sz w:val="22"/>
          <w:szCs w:val="22"/>
          <w:lang w:val="it-IT"/>
        </w:rPr>
        <w:t>Rubbettino 2016</w:t>
      </w:r>
      <w:r>
        <w:rPr>
          <w:rStyle w:val="Enfasicorsivo"/>
          <w:color w:val="000000"/>
          <w:sz w:val="22"/>
          <w:szCs w:val="22"/>
          <w:lang w:val="en-GB"/>
        </w:rPr>
        <w:t>;</w:t>
      </w:r>
    </w:p>
    <w:p w14:paraId="25128559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en-GB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t xml:space="preserve">Italian Experiences on Digital Participation. Legal Issues and Challenges, in </w:t>
      </w:r>
      <w:r w:rsidRPr="001A001D">
        <w:rPr>
          <w:rFonts w:eastAsia="ＭＳ 明朝"/>
          <w:i w:val="0"/>
          <w:smallCaps/>
          <w:sz w:val="22"/>
          <w:szCs w:val="22"/>
        </w:rPr>
        <w:t>Christopher G. Reddick, Leonidas G. Anthopoulos</w:t>
      </w:r>
      <w:r w:rsidRPr="001A001D">
        <w:rPr>
          <w:rFonts w:eastAsia="ＭＳ 明朝"/>
          <w:i w:val="0"/>
          <w:sz w:val="22"/>
          <w:szCs w:val="22"/>
        </w:rPr>
        <w:t xml:space="preserve"> (</w:t>
      </w:r>
      <w:r w:rsidRPr="001A001D">
        <w:rPr>
          <w:rFonts w:eastAsia="ＭＳ 明朝"/>
          <w:sz w:val="22"/>
          <w:szCs w:val="22"/>
        </w:rPr>
        <w:t>eds.</w:t>
      </w:r>
      <w:r w:rsidRPr="001A001D">
        <w:rPr>
          <w:rFonts w:eastAsia="ＭＳ 明朝"/>
          <w:i w:val="0"/>
          <w:sz w:val="22"/>
          <w:szCs w:val="22"/>
        </w:rPr>
        <w:t xml:space="preserve">), </w:t>
      </w:r>
      <w:r w:rsidRPr="001A001D">
        <w:rPr>
          <w:rFonts w:eastAsia="ＭＳ 明朝"/>
          <w:bCs/>
          <w:i w:val="0"/>
          <w:sz w:val="22"/>
          <w:szCs w:val="22"/>
        </w:rPr>
        <w:t>Information and Communication Technologies in Public Administration: Innovations from Developed Countries</w:t>
      </w:r>
      <w:r w:rsidRPr="001A001D">
        <w:rPr>
          <w:rFonts w:eastAsia="ＭＳ 明朝"/>
          <w:i w:val="0"/>
          <w:sz w:val="22"/>
          <w:szCs w:val="22"/>
        </w:rPr>
        <w:t>,</w:t>
      </w:r>
      <w:r w:rsidRPr="001A001D">
        <w:rPr>
          <w:rFonts w:eastAsia="ＭＳ 明朝"/>
          <w:sz w:val="22"/>
          <w:szCs w:val="22"/>
        </w:rPr>
        <w:t xml:space="preserve"> </w:t>
      </w:r>
      <w:r w:rsidRPr="001A001D">
        <w:rPr>
          <w:rFonts w:eastAsia="ＭＳ 明朝"/>
          <w:bCs/>
          <w:i w:val="0"/>
          <w:sz w:val="22"/>
          <w:szCs w:val="22"/>
        </w:rPr>
        <w:t>CRC Press, Taylor &amp; Francis Group</w:t>
      </w:r>
      <w:r w:rsidRPr="001A001D">
        <w:rPr>
          <w:rStyle w:val="Enfasicorsivo"/>
          <w:color w:val="000000"/>
          <w:sz w:val="22"/>
          <w:szCs w:val="22"/>
          <w:lang w:val="en-GB"/>
        </w:rPr>
        <w:t>, 2015;</w:t>
      </w:r>
    </w:p>
    <w:p w14:paraId="52926872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en-GB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Trasparenza e accessibilità agli atti dell’Unione europea, un percorso in divenire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, 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A. Natalini, G. Vesperini 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(eds.),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Il big bang della trasparenza</w:t>
      </w:r>
      <w:r w:rsidRPr="001A001D">
        <w:rPr>
          <w:rStyle w:val="Enfasicorsivo"/>
          <w:color w:val="000000"/>
          <w:sz w:val="22"/>
          <w:szCs w:val="22"/>
          <w:lang w:val="it-IT"/>
        </w:rPr>
        <w:t>, Editoriale Scientifica</w:t>
      </w:r>
      <w:r w:rsidRPr="001A001D">
        <w:rPr>
          <w:rStyle w:val="Enfasicorsivo"/>
          <w:color w:val="000000"/>
          <w:sz w:val="22"/>
          <w:szCs w:val="22"/>
          <w:lang w:val="en-GB"/>
        </w:rPr>
        <w:t>, 2015</w:t>
      </w:r>
      <w:r>
        <w:rPr>
          <w:rStyle w:val="Enfasicorsivo"/>
          <w:color w:val="000000"/>
          <w:sz w:val="22"/>
          <w:szCs w:val="22"/>
          <w:lang w:val="en-GB"/>
        </w:rPr>
        <w:t>;</w:t>
      </w:r>
    </w:p>
    <w:p w14:paraId="55BDB155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en-GB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t xml:space="preserve">Digital Participation: The Case of the Italian “Dialogue With Citizens”, 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C.M. Akrivopoulou, N. Garipidis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 (eds.), Human Rights and The Impact of ICT in the Public Sphere. Participation, Democracy, and Political Autonomy, IGI Press, 2014;</w:t>
      </w:r>
    </w:p>
    <w:p w14:paraId="6948F480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en-GB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t xml:space="preserve">We-Transparency, 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C.M. Akrivopoulou, N. Garipidis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 (eds.), Human Rights and The Impact of ICT in the Public Sphere. Participation, Democracy, and Political Autonomy, IGI Press, 2014;</w:t>
      </w:r>
    </w:p>
    <w:p w14:paraId="2ED8BE8C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I collaboratori parlamentari: l’indagine sul campo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, in 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 xml:space="preserve">H. Caroli Casavola </w:t>
      </w:r>
      <w:r w:rsidRPr="001A001D">
        <w:rPr>
          <w:rStyle w:val="Enfasicorsivo"/>
          <w:color w:val="000000"/>
          <w:sz w:val="22"/>
          <w:szCs w:val="22"/>
          <w:lang w:val="it-IT"/>
        </w:rPr>
        <w:t>(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ed.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I collaboratori dei parlamentari – il personale “addetto” alla politica</w:t>
      </w:r>
      <w:r w:rsidRPr="001A001D">
        <w:rPr>
          <w:rStyle w:val="Enfasicorsivo"/>
          <w:color w:val="000000"/>
          <w:sz w:val="22"/>
          <w:szCs w:val="22"/>
          <w:lang w:val="it-IT"/>
        </w:rPr>
        <w:t>, Editoriale Scientifica, 2014</w:t>
      </w:r>
      <w:r>
        <w:rPr>
          <w:rStyle w:val="Enfasicorsivo"/>
          <w:color w:val="000000"/>
          <w:sz w:val="22"/>
          <w:szCs w:val="22"/>
          <w:lang w:val="it-IT"/>
        </w:rPr>
        <w:t>;</w:t>
      </w:r>
    </w:p>
    <w:p w14:paraId="4C12D7DA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t xml:space="preserve">Accountability in Transnational Governance: The Case of Forestry, </w:t>
      </w:r>
      <w:r w:rsidRPr="001A001D">
        <w:rPr>
          <w:i w:val="0"/>
          <w:color w:val="000000"/>
          <w:sz w:val="22"/>
          <w:szCs w:val="22"/>
          <w:lang w:val="en-GB"/>
        </w:rPr>
        <w:t xml:space="preserve">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S. Cassese </w:t>
      </w:r>
      <w:r w:rsidRPr="001A001D">
        <w:rPr>
          <w:rStyle w:val="Enfasicorsivo"/>
          <w:color w:val="000000"/>
          <w:sz w:val="22"/>
          <w:szCs w:val="22"/>
          <w:lang w:val="en-GB"/>
        </w:rPr>
        <w:t>et al (eds.)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 </w:t>
      </w:r>
      <w:r w:rsidRPr="001A001D">
        <w:rPr>
          <w:i w:val="0"/>
          <w:color w:val="000000"/>
          <w:sz w:val="22"/>
          <w:szCs w:val="22"/>
          <w:lang w:val="en-GB"/>
        </w:rPr>
        <w:t>Global Administrative Law: The Casebook (III ed.)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</w:t>
      </w:r>
      <w:r w:rsidRPr="001A001D">
        <w:rPr>
          <w:i w:val="0"/>
          <w:color w:val="000000"/>
          <w:sz w:val="22"/>
          <w:szCs w:val="22"/>
          <w:lang w:val="en-GB"/>
        </w:rPr>
        <w:t xml:space="preserve"> IRPA-IILJ: Rome-</w:t>
      </w:r>
      <w:r w:rsidRPr="001A001D">
        <w:rPr>
          <w:rStyle w:val="Enfasicorsivo"/>
          <w:color w:val="000000"/>
          <w:sz w:val="22"/>
          <w:szCs w:val="22"/>
          <w:lang w:val="en-GB"/>
        </w:rPr>
        <w:t>New York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 2012;</w:t>
      </w:r>
    </w:p>
    <w:p w14:paraId="09EF9B9E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i w:val="0"/>
          <w:sz w:val="22"/>
          <w:szCs w:val="22"/>
          <w:lang w:val="en-GB"/>
        </w:rPr>
        <w:t>The Aarhus Compliance Committee and the Danube River Case</w:t>
      </w:r>
      <w:r w:rsidRPr="001A001D">
        <w:rPr>
          <w:i w:val="0"/>
          <w:color w:val="000000"/>
          <w:sz w:val="22"/>
          <w:szCs w:val="22"/>
          <w:lang w:val="en-GB"/>
        </w:rPr>
        <w:t xml:space="preserve"> in Global Administrative Law: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S. Cassese </w:t>
      </w:r>
      <w:r w:rsidRPr="001A001D">
        <w:rPr>
          <w:rStyle w:val="Enfasicorsivo"/>
          <w:color w:val="000000"/>
          <w:sz w:val="22"/>
          <w:szCs w:val="22"/>
          <w:lang w:val="en-GB"/>
        </w:rPr>
        <w:t>et al (eds.)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 </w:t>
      </w:r>
      <w:r w:rsidRPr="001A001D">
        <w:rPr>
          <w:i w:val="0"/>
          <w:color w:val="000000"/>
          <w:sz w:val="22"/>
          <w:szCs w:val="22"/>
          <w:lang w:val="en-GB"/>
        </w:rPr>
        <w:t>Global Administrative Law: The Casebook (III ed.)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</w:t>
      </w:r>
      <w:r w:rsidRPr="001A001D">
        <w:rPr>
          <w:i w:val="0"/>
          <w:color w:val="000000"/>
          <w:sz w:val="22"/>
          <w:szCs w:val="22"/>
          <w:lang w:val="en-GB"/>
        </w:rPr>
        <w:t xml:space="preserve"> IRPA-IILJ: Rome-</w:t>
      </w:r>
      <w:r w:rsidRPr="001A001D">
        <w:rPr>
          <w:rStyle w:val="Enfasicorsivo"/>
          <w:color w:val="000000"/>
          <w:sz w:val="22"/>
          <w:szCs w:val="22"/>
          <w:lang w:val="en-GB"/>
        </w:rPr>
        <w:t>New York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 2012;</w:t>
      </w:r>
    </w:p>
    <w:p w14:paraId="4831B292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Il governo decentrato dell’Unione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 (con 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>G. Vesperini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), in 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>M.P. Chiti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, 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>A. Natalini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 (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eds.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Lo spazio amministrativo europeo. Le pubbliche amministrazioni dopo il Trattato di Lisbona</w:t>
      </w:r>
      <w:r w:rsidRPr="001A001D">
        <w:rPr>
          <w:rStyle w:val="Enfasicorsivo"/>
          <w:color w:val="000000"/>
          <w:sz w:val="22"/>
          <w:szCs w:val="22"/>
          <w:lang w:val="it-IT"/>
        </w:rPr>
        <w:t>, Il Mulino 2012;</w:t>
      </w:r>
    </w:p>
    <w:p w14:paraId="359C7164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t xml:space="preserve">Interlocutory Coalitions and Administrative Convergence, 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E. Chiti, B. Mattarella</w:t>
      </w:r>
      <w:r w:rsidRPr="001A001D">
        <w:rPr>
          <w:rStyle w:val="Enfasicorsivo"/>
          <w:color w:val="000000"/>
          <w:sz w:val="22"/>
          <w:szCs w:val="22"/>
          <w:lang w:val="en-GB"/>
        </w:rPr>
        <w:t xml:space="preserve"> (</w:t>
      </w:r>
      <w:r w:rsidRPr="001A001D">
        <w:rPr>
          <w:rStyle w:val="Enfasicorsivo"/>
          <w:i/>
          <w:color w:val="000000"/>
          <w:sz w:val="22"/>
          <w:szCs w:val="22"/>
          <w:lang w:val="en-GB"/>
        </w:rPr>
        <w:t>eds.</w:t>
      </w:r>
      <w:r w:rsidRPr="001A001D">
        <w:rPr>
          <w:rStyle w:val="Enfasicorsivo"/>
          <w:color w:val="000000"/>
          <w:sz w:val="22"/>
          <w:szCs w:val="22"/>
          <w:lang w:val="en-GB"/>
        </w:rPr>
        <w:t>), Global Administrative Law and EU Administrative Law. Relationships, Legal Issues and Comparison, Springer 2011;</w:t>
      </w:r>
    </w:p>
    <w:p w14:paraId="4DB6E7D0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Le coalizioni di interlocuzione e la convergenza amministrativa</w:t>
      </w:r>
      <w:r w:rsidRPr="001A001D">
        <w:rPr>
          <w:rStyle w:val="Enfasicorsivo"/>
          <w:color w:val="000000"/>
          <w:sz w:val="22"/>
          <w:szCs w:val="22"/>
          <w:lang w:val="it-IT"/>
        </w:rPr>
        <w:t>, in S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>. Battini</w:t>
      </w:r>
      <w:r w:rsidRPr="001A001D">
        <w:rPr>
          <w:rStyle w:val="Enfasicorsivo"/>
          <w:color w:val="000000"/>
          <w:sz w:val="22"/>
          <w:szCs w:val="22"/>
          <w:lang w:val="it-IT"/>
        </w:rPr>
        <w:t>, E.</w:t>
      </w:r>
      <w:r w:rsidRPr="001A001D">
        <w:rPr>
          <w:rStyle w:val="Enfasicorsivo"/>
          <w:smallCaps/>
          <w:color w:val="000000"/>
          <w:sz w:val="22"/>
          <w:szCs w:val="22"/>
          <w:lang w:val="it-IT"/>
        </w:rPr>
        <w:t xml:space="preserve"> Chiti, G. Della Cananea, C. Franchini, B. Mattarella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 (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eds.</w:t>
      </w:r>
      <w:r w:rsidRPr="001A001D">
        <w:rPr>
          <w:rStyle w:val="Enfasicorsivo"/>
          <w:color w:val="000000"/>
          <w:sz w:val="22"/>
          <w:szCs w:val="22"/>
          <w:lang w:val="it-IT"/>
        </w:rPr>
        <w:t xml:space="preserve">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Sistemi regolatori globali e diritto europeo, Quaderno n. VI – Rivista trimestrale di diritto pubblico</w:t>
      </w:r>
      <w:r w:rsidRPr="001A001D">
        <w:rPr>
          <w:rStyle w:val="Enfasicorsivo"/>
          <w:color w:val="000000"/>
          <w:sz w:val="22"/>
          <w:szCs w:val="22"/>
          <w:lang w:val="it-IT"/>
        </w:rPr>
        <w:t>, Milano, 2011</w:t>
      </w:r>
      <w:r w:rsidRPr="001A001D">
        <w:rPr>
          <w:rStyle w:val="Enfasicorsivo"/>
          <w:color w:val="000000"/>
          <w:sz w:val="22"/>
          <w:szCs w:val="22"/>
          <w:lang w:val="en-GB"/>
        </w:rPr>
        <w:t>;</w:t>
      </w:r>
    </w:p>
    <w:p w14:paraId="7CE7F245" w14:textId="77777777" w:rsidR="00A56413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i w:val="0"/>
          <w:color w:val="000000"/>
          <w:sz w:val="22"/>
          <w:szCs w:val="22"/>
          <w:lang w:val="en-GB"/>
        </w:rPr>
        <w:t xml:space="preserve">Participation of Indigenous People: The Guatemala Marlin Gold Mine, in 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S. Cassese </w:t>
      </w:r>
      <w:r w:rsidRPr="001A001D">
        <w:rPr>
          <w:rStyle w:val="Enfasicorsivo"/>
          <w:color w:val="000000"/>
          <w:sz w:val="22"/>
          <w:szCs w:val="22"/>
          <w:lang w:val="en-GB"/>
        </w:rPr>
        <w:t>et al (eds.)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 </w:t>
      </w:r>
      <w:r w:rsidRPr="001A001D">
        <w:rPr>
          <w:i w:val="0"/>
          <w:color w:val="000000"/>
          <w:sz w:val="22"/>
          <w:szCs w:val="22"/>
          <w:lang w:val="en-GB"/>
        </w:rPr>
        <w:t>Global Administrative Law: The Casebook (II ed.)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</w:t>
      </w:r>
      <w:r w:rsidRPr="001A001D">
        <w:rPr>
          <w:i w:val="0"/>
          <w:color w:val="000000"/>
          <w:sz w:val="22"/>
          <w:szCs w:val="22"/>
          <w:lang w:val="en-GB"/>
        </w:rPr>
        <w:t xml:space="preserve"> IILJ: </w:t>
      </w:r>
      <w:r w:rsidRPr="001A001D">
        <w:rPr>
          <w:rStyle w:val="Enfasicorsivo"/>
          <w:color w:val="000000"/>
          <w:sz w:val="22"/>
          <w:szCs w:val="22"/>
          <w:lang w:val="en-GB"/>
        </w:rPr>
        <w:t>New York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>, 2008;</w:t>
      </w:r>
    </w:p>
    <w:p w14:paraId="69464DDB" w14:textId="77777777" w:rsidR="00A56413" w:rsidRPr="001A001D" w:rsidRDefault="00A56413" w:rsidP="00A56413">
      <w:pPr>
        <w:pStyle w:val="OiaeaeiYiio2"/>
        <w:widowControl/>
        <w:numPr>
          <w:ilvl w:val="0"/>
          <w:numId w:val="2"/>
        </w:numPr>
        <w:spacing w:before="20" w:after="20"/>
        <w:ind w:left="426" w:hanging="426"/>
        <w:jc w:val="both"/>
        <w:rPr>
          <w:i w:val="0"/>
          <w:iCs/>
          <w:color w:val="000000"/>
          <w:sz w:val="22"/>
          <w:szCs w:val="22"/>
          <w:lang w:val="it-IT"/>
        </w:rPr>
      </w:pPr>
      <w:r w:rsidRPr="001A001D">
        <w:rPr>
          <w:color w:val="000000"/>
          <w:sz w:val="22"/>
          <w:szCs w:val="22"/>
          <w:lang w:val="it-IT"/>
        </w:rPr>
        <w:t>La disciplina giuridica. Il regime linguistico del sistema sulla sicurezza alimentare europeo,</w:t>
      </w:r>
      <w:r w:rsidRPr="001A001D">
        <w:rPr>
          <w:i w:val="0"/>
          <w:color w:val="000000"/>
          <w:sz w:val="22"/>
          <w:szCs w:val="22"/>
          <w:lang w:val="it-IT"/>
        </w:rPr>
        <w:t xml:space="preserve"> in</w:t>
      </w:r>
      <w:r w:rsidRPr="001A001D">
        <w:rPr>
          <w:color w:val="000000"/>
          <w:sz w:val="22"/>
          <w:szCs w:val="22"/>
          <w:lang w:val="it-IT"/>
        </w:rPr>
        <w:t xml:space="preserve"> </w:t>
      </w:r>
      <w:r w:rsidRPr="001A001D">
        <w:rPr>
          <w:i w:val="0"/>
          <w:smallCaps/>
          <w:color w:val="000000"/>
          <w:sz w:val="22"/>
          <w:szCs w:val="22"/>
          <w:lang w:val="it-IT"/>
        </w:rPr>
        <w:t>E. Chiti, R. Gualdo</w:t>
      </w:r>
      <w:r w:rsidRPr="001A001D">
        <w:rPr>
          <w:i w:val="0"/>
          <w:color w:val="000000"/>
          <w:sz w:val="22"/>
          <w:szCs w:val="22"/>
          <w:lang w:val="it-IT"/>
        </w:rPr>
        <w:t xml:space="preserve"> (</w:t>
      </w:r>
      <w:r w:rsidRPr="001A001D">
        <w:rPr>
          <w:color w:val="000000"/>
          <w:sz w:val="22"/>
          <w:szCs w:val="22"/>
          <w:lang w:val="it-IT"/>
        </w:rPr>
        <w:t>eds</w:t>
      </w:r>
      <w:r w:rsidRPr="001A001D">
        <w:rPr>
          <w:i w:val="0"/>
          <w:color w:val="000000"/>
          <w:sz w:val="22"/>
          <w:szCs w:val="22"/>
          <w:lang w:val="it-IT"/>
        </w:rPr>
        <w:t xml:space="preserve">.), </w:t>
      </w:r>
      <w:r w:rsidRPr="001A001D">
        <w:rPr>
          <w:color w:val="000000"/>
          <w:sz w:val="22"/>
          <w:szCs w:val="22"/>
          <w:lang w:val="it-IT"/>
        </w:rPr>
        <w:t>Il regime linguistico dei sistemi comuni europei. L’unione tra multilinguismo e monolinguismo</w:t>
      </w:r>
      <w:r w:rsidRPr="001A001D">
        <w:rPr>
          <w:i w:val="0"/>
          <w:color w:val="000000"/>
          <w:sz w:val="22"/>
          <w:szCs w:val="22"/>
          <w:lang w:val="it-IT"/>
        </w:rPr>
        <w:t>, Giuffrè, 2008.</w:t>
      </w:r>
    </w:p>
    <w:p w14:paraId="4925B016" w14:textId="77777777" w:rsidR="00A56413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</w:p>
    <w:p w14:paraId="45E11A8D" w14:textId="77777777" w:rsidR="00A56413" w:rsidRPr="00791DF1" w:rsidRDefault="00A56413" w:rsidP="00A56413">
      <w:pPr>
        <w:pStyle w:val="OiaeaeiYiio2"/>
        <w:widowControl/>
        <w:spacing w:before="20" w:after="20"/>
        <w:jc w:val="both"/>
        <w:rPr>
          <w:b/>
          <w:i w:val="0"/>
          <w:color w:val="000000"/>
          <w:sz w:val="22"/>
          <w:szCs w:val="22"/>
          <w:u w:val="single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Chapters in Reports</w:t>
      </w:r>
      <w:r w:rsidRPr="008148E7">
        <w:rPr>
          <w:rStyle w:val="Enfasicorsivo"/>
          <w:b/>
          <w:color w:val="000000"/>
          <w:sz w:val="22"/>
          <w:szCs w:val="22"/>
          <w:u w:val="single"/>
          <w:lang w:val="en-GB"/>
        </w:rPr>
        <w:t>:</w:t>
      </w:r>
    </w:p>
    <w:p w14:paraId="67C475E7" w14:textId="77777777" w:rsidR="00A56413" w:rsidRDefault="00A56413" w:rsidP="00A56413">
      <w:pPr>
        <w:pStyle w:val="OiaeaeiYiio2"/>
        <w:widowControl/>
        <w:numPr>
          <w:ilvl w:val="0"/>
          <w:numId w:val="3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i/>
          <w:color w:val="000000"/>
          <w:sz w:val="22"/>
          <w:szCs w:val="22"/>
          <w:lang w:val="it-IT"/>
        </w:rPr>
        <w:t>Democrazia vs Innovazione. La capacità di innovare delle amministrazioni attraverso il coinvolgimento della società civile</w:t>
      </w:r>
      <w:r w:rsidRPr="002A026E">
        <w:rPr>
          <w:rStyle w:val="Enfasicorsivo"/>
          <w:color w:val="000000"/>
          <w:sz w:val="22"/>
          <w:szCs w:val="22"/>
          <w:lang w:val="it-IT"/>
        </w:rPr>
        <w:t xml:space="preserve">, in </w:t>
      </w:r>
      <w:r w:rsidRPr="002A026E">
        <w:rPr>
          <w:rStyle w:val="Enfasicorsivo"/>
          <w:smallCaps/>
          <w:color w:val="000000"/>
          <w:sz w:val="22"/>
          <w:szCs w:val="22"/>
          <w:lang w:val="it-IT"/>
        </w:rPr>
        <w:t>M.F. Guida, F. Maiolini</w:t>
      </w:r>
      <w:r w:rsidRPr="002A026E">
        <w:rPr>
          <w:rStyle w:val="Enfasicorsivo"/>
          <w:color w:val="000000"/>
          <w:sz w:val="22"/>
          <w:szCs w:val="22"/>
          <w:lang w:val="it-IT"/>
        </w:rPr>
        <w:t xml:space="preserve"> (</w:t>
      </w:r>
      <w:r w:rsidRPr="00BA3ABC">
        <w:rPr>
          <w:rStyle w:val="Enfasicorsivo"/>
          <w:color w:val="000000"/>
          <w:sz w:val="22"/>
          <w:szCs w:val="22"/>
          <w:lang w:val="it-IT"/>
        </w:rPr>
        <w:t>eds</w:t>
      </w:r>
      <w:r w:rsidRPr="002A026E">
        <w:rPr>
          <w:rStyle w:val="Enfasicorsivo"/>
          <w:color w:val="000000"/>
          <w:sz w:val="22"/>
          <w:szCs w:val="22"/>
          <w:lang w:val="it-IT"/>
        </w:rPr>
        <w:t xml:space="preserve">.), </w:t>
      </w:r>
      <w:r w:rsidRPr="001A001D">
        <w:rPr>
          <w:rStyle w:val="Enfasicorsivo"/>
          <w:i/>
          <w:color w:val="000000"/>
          <w:sz w:val="22"/>
          <w:szCs w:val="22"/>
          <w:lang w:val="it-IT"/>
        </w:rPr>
        <w:t>L’importanza del  Fattore  C  nella  individuazione  del  valore  di  Innovazione  Sociale  -  Primo  rapporto sull’innovazione sociale  in  Italia, Luiss University</w:t>
      </w:r>
      <w:r w:rsidRPr="002A026E">
        <w:rPr>
          <w:rStyle w:val="Enfasicorsivo"/>
          <w:color w:val="000000"/>
          <w:sz w:val="22"/>
          <w:szCs w:val="22"/>
          <w:lang w:val="it-IT"/>
        </w:rPr>
        <w:t xml:space="preserve"> - Rubettino editore, 2014</w:t>
      </w:r>
      <w:r>
        <w:rPr>
          <w:rStyle w:val="Enfasicorsivo"/>
          <w:color w:val="000000"/>
          <w:sz w:val="22"/>
          <w:szCs w:val="22"/>
          <w:lang w:val="it-IT"/>
        </w:rPr>
        <w:t>;</w:t>
      </w:r>
    </w:p>
    <w:p w14:paraId="76EC0139" w14:textId="77777777" w:rsidR="00A56413" w:rsidRPr="001A001D" w:rsidRDefault="00A56413" w:rsidP="00A56413">
      <w:pPr>
        <w:pStyle w:val="OiaeaeiYiio2"/>
        <w:widowControl/>
        <w:numPr>
          <w:ilvl w:val="0"/>
          <w:numId w:val="3"/>
        </w:numPr>
        <w:spacing w:before="20" w:after="20"/>
        <w:ind w:left="426" w:hanging="426"/>
        <w:jc w:val="both"/>
        <w:rPr>
          <w:rStyle w:val="Enfasicorsivo"/>
          <w:color w:val="000000"/>
          <w:sz w:val="22"/>
          <w:szCs w:val="22"/>
          <w:lang w:val="it-IT"/>
        </w:rPr>
      </w:pPr>
      <w:r w:rsidRPr="001A001D">
        <w:rPr>
          <w:rStyle w:val="Enfasicorsivo"/>
          <w:color w:val="000000"/>
          <w:sz w:val="22"/>
          <w:szCs w:val="22"/>
          <w:lang w:val="en-GB"/>
        </w:rPr>
        <w:lastRenderedPageBreak/>
        <w:t xml:space="preserve">Centralization, in Compendium of Basic United Nation Terminology in Governance and Public Administration, </w:t>
      </w:r>
      <w:r w:rsidRPr="001A001D">
        <w:rPr>
          <w:rStyle w:val="Enfasicorsivo"/>
          <w:iCs w:val="0"/>
          <w:smallCaps/>
          <w:color w:val="000000"/>
          <w:sz w:val="22"/>
          <w:szCs w:val="22"/>
          <w:lang w:val="en-GB"/>
        </w:rPr>
        <w:t>United Nations Economic and Social Council – Committee on Experts on Public Administration</w:t>
      </w:r>
      <w:r w:rsidRPr="001A001D">
        <w:rPr>
          <w:rStyle w:val="Enfasicorsivo"/>
          <w:color w:val="000000"/>
          <w:sz w:val="22"/>
          <w:szCs w:val="22"/>
          <w:lang w:val="en-GB"/>
        </w:rPr>
        <w:t>: New York</w:t>
      </w:r>
      <w:r>
        <w:rPr>
          <w:rStyle w:val="Enfasicorsivo"/>
          <w:smallCaps/>
          <w:color w:val="000000"/>
          <w:sz w:val="22"/>
          <w:szCs w:val="22"/>
          <w:lang w:val="en-GB"/>
        </w:rPr>
        <w:t>, 2009.</w:t>
      </w:r>
      <w:r w:rsidRPr="001A001D">
        <w:rPr>
          <w:rStyle w:val="Enfasicorsivo"/>
          <w:smallCaps/>
          <w:color w:val="000000"/>
          <w:sz w:val="22"/>
          <w:szCs w:val="22"/>
          <w:lang w:val="en-GB"/>
        </w:rPr>
        <w:t xml:space="preserve"> </w:t>
      </w:r>
    </w:p>
    <w:p w14:paraId="56F7CD89" w14:textId="77777777" w:rsidR="00A56413" w:rsidRPr="008148E7" w:rsidRDefault="00A56413" w:rsidP="00A56413">
      <w:pPr>
        <w:pStyle w:val="OiaeaeiYiio2"/>
        <w:widowControl/>
        <w:spacing w:before="20" w:after="20"/>
        <w:jc w:val="both"/>
        <w:rPr>
          <w:rStyle w:val="Enfasicorsivo"/>
          <w:iCs w:val="0"/>
          <w:color w:val="000000"/>
          <w:sz w:val="22"/>
          <w:szCs w:val="22"/>
          <w:u w:val="single"/>
          <w:lang w:val="en-GB"/>
        </w:rPr>
      </w:pPr>
    </w:p>
    <w:p w14:paraId="7B94D4E9" w14:textId="77777777" w:rsidR="00A56413" w:rsidRPr="006006B7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iCs w:val="0"/>
          <w:color w:val="000000"/>
          <w:sz w:val="22"/>
          <w:szCs w:val="22"/>
          <w:u w:val="single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Articles (peer reviewed)</w:t>
      </w:r>
      <w:r w:rsidRPr="008148E7">
        <w:rPr>
          <w:rStyle w:val="Enfasicorsivo"/>
          <w:b/>
          <w:color w:val="000000"/>
          <w:sz w:val="22"/>
          <w:szCs w:val="22"/>
          <w:u w:val="single"/>
          <w:lang w:val="en-GB"/>
        </w:rPr>
        <w:t>:</w:t>
      </w:r>
    </w:p>
    <w:p w14:paraId="17B8EE2D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>
        <w:rPr>
          <w:rStyle w:val="Enfasicorsivo"/>
          <w:i w:val="0"/>
          <w:color w:val="000000"/>
          <w:sz w:val="22"/>
          <w:szCs w:val="22"/>
          <w:lang w:val="en-GB" w:eastAsia="en-US"/>
        </w:rPr>
        <w:t>Is Gamification Making Cities Smarter?, Ius-Publicum Network Review, I:2018</w:t>
      </w:r>
    </w:p>
    <w:p w14:paraId="2C95EDD2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>
        <w:rPr>
          <w:rStyle w:val="Enfasicorsivo"/>
          <w:i w:val="0"/>
          <w:color w:val="000000"/>
          <w:sz w:val="22"/>
          <w:szCs w:val="22"/>
          <w:lang w:val="en-GB" w:eastAsia="en-US"/>
        </w:rPr>
        <w:t xml:space="preserve">Activists, Lobbyists or Policy-Entrepreneurs? Assessing the Role of Citizens in Gamified Public Policies, in </w:t>
      </w:r>
      <w:r w:rsidRPr="00B1577C">
        <w:rPr>
          <w:rStyle w:val="Enfasicorsivo"/>
          <w:i w:val="0"/>
          <w:color w:val="000000"/>
          <w:sz w:val="22"/>
          <w:szCs w:val="22"/>
          <w:lang w:val="en-GB" w:eastAsia="en-US"/>
        </w:rPr>
        <w:t>International Journal of Public Administration in the Digital Age, Imagining the Engaged Citizen and Public in the Age of Social Media</w:t>
      </w:r>
      <w:r>
        <w:rPr>
          <w:rStyle w:val="Enfasicorsivo"/>
          <w:i w:val="0"/>
          <w:color w:val="000000"/>
          <w:sz w:val="22"/>
          <w:szCs w:val="22"/>
          <w:lang w:val="en-GB" w:eastAsia="en-US"/>
        </w:rPr>
        <w:t>, 2017;</w:t>
      </w:r>
    </w:p>
    <w:p w14:paraId="0ED150FB" w14:textId="77777777" w:rsidR="00A56413" w:rsidRPr="00965062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 w:rsidRPr="00965062">
        <w:rPr>
          <w:rStyle w:val="Enfasicorsivo"/>
          <w:i w:val="0"/>
          <w:color w:val="000000"/>
          <w:sz w:val="22"/>
          <w:szCs w:val="22"/>
          <w:lang w:val="en-GB" w:eastAsia="en-US"/>
        </w:rPr>
        <w:t>Converging methods of governance at the supranational level – the role of civil society</w:t>
      </w:r>
      <w:r>
        <w:rPr>
          <w:rStyle w:val="Enfasicorsivo"/>
          <w:i w:val="0"/>
          <w:color w:val="000000"/>
          <w:sz w:val="22"/>
          <w:szCs w:val="22"/>
          <w:lang w:val="en-GB" w:eastAsia="en-US"/>
        </w:rPr>
        <w:t>, in E-Publica, III, 2017</w:t>
      </w:r>
    </w:p>
    <w:p w14:paraId="0F1C6FCC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eastAsia="en-US"/>
        </w:rPr>
      </w:pPr>
      <w:r w:rsidRPr="00E56051">
        <w:rPr>
          <w:rStyle w:val="Enfasicorsivo"/>
          <w:sz w:val="22"/>
          <w:szCs w:val="22"/>
          <w:lang w:eastAsia="en-US"/>
        </w:rPr>
        <w:t>L’Amministrazione Digitale,</w:t>
      </w:r>
      <w:r w:rsidRPr="00E56051">
        <w:rPr>
          <w:rStyle w:val="Enfasicorsivo"/>
          <w:i w:val="0"/>
          <w:sz w:val="22"/>
          <w:szCs w:val="22"/>
          <w:lang w:eastAsia="en-US"/>
        </w:rPr>
        <w:t xml:space="preserve"> in </w:t>
      </w:r>
      <w:r w:rsidRPr="00E56051">
        <w:rPr>
          <w:rStyle w:val="Enfasicorsivo"/>
          <w:sz w:val="22"/>
          <w:szCs w:val="22"/>
          <w:lang w:eastAsia="en-US"/>
        </w:rPr>
        <w:t>Itinerari della giurisprudenza</w:t>
      </w:r>
      <w:r w:rsidRPr="00E56051">
        <w:rPr>
          <w:rStyle w:val="Enfasicorsivo"/>
          <w:i w:val="0"/>
          <w:sz w:val="22"/>
          <w:szCs w:val="22"/>
          <w:lang w:eastAsia="en-US"/>
        </w:rPr>
        <w:t xml:space="preserve"> - </w:t>
      </w:r>
      <w:r w:rsidRPr="00E56051">
        <w:rPr>
          <w:rStyle w:val="Enfasicorsivo"/>
          <w:sz w:val="22"/>
          <w:szCs w:val="22"/>
          <w:lang w:eastAsia="en-US"/>
        </w:rPr>
        <w:t>Giornale di diritto amministrativo</w:t>
      </w:r>
      <w:r w:rsidRPr="00E56051">
        <w:rPr>
          <w:rStyle w:val="Enfasicorsivo"/>
          <w:i w:val="0"/>
          <w:sz w:val="22"/>
          <w:szCs w:val="22"/>
          <w:lang w:eastAsia="en-US"/>
        </w:rPr>
        <w:t>, 2016</w:t>
      </w:r>
      <w:r w:rsidRPr="00E56051">
        <w:rPr>
          <w:rStyle w:val="Enfasicorsivo"/>
          <w:i w:val="0"/>
          <w:color w:val="000000"/>
          <w:sz w:val="22"/>
          <w:szCs w:val="22"/>
          <w:lang w:eastAsia="en-US"/>
        </w:rPr>
        <w:t>;</w:t>
      </w:r>
    </w:p>
    <w:p w14:paraId="50F9AAF1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E56051">
        <w:rPr>
          <w:i/>
          <w:sz w:val="22"/>
          <w:szCs w:val="22"/>
        </w:rPr>
        <w:t xml:space="preserve">Lo scontro tra regola e prassi nelle riunioni del Consiglio dei Ministri, </w:t>
      </w:r>
      <w:r w:rsidRPr="00E56051">
        <w:rPr>
          <w:sz w:val="22"/>
          <w:szCs w:val="22"/>
        </w:rPr>
        <w:t xml:space="preserve">in </w:t>
      </w:r>
      <w:r w:rsidRPr="00E56051">
        <w:rPr>
          <w:i/>
          <w:sz w:val="22"/>
          <w:szCs w:val="22"/>
        </w:rPr>
        <w:t>Giornale di diritto amministrativo</w:t>
      </w:r>
      <w:r w:rsidRPr="00E56051">
        <w:rPr>
          <w:sz w:val="22"/>
          <w:szCs w:val="22"/>
        </w:rPr>
        <w:t>, 2015</w:t>
      </w:r>
    </w:p>
    <w:p w14:paraId="151FC47B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E56051">
        <w:rPr>
          <w:i/>
          <w:sz w:val="22"/>
          <w:szCs w:val="22"/>
        </w:rPr>
        <w:t>Il diritto di accesso agli atti nella giurisprudenza</w:t>
      </w:r>
      <w:r w:rsidRPr="00E56051">
        <w:rPr>
          <w:sz w:val="22"/>
          <w:szCs w:val="22"/>
        </w:rPr>
        <w:t xml:space="preserve">, in </w:t>
      </w:r>
      <w:r w:rsidRPr="00E56051">
        <w:rPr>
          <w:i/>
          <w:sz w:val="22"/>
          <w:szCs w:val="22"/>
        </w:rPr>
        <w:t>Itinerari della giurisprudenza – Giornale di diritto amministrativo</w:t>
      </w:r>
      <w:r w:rsidRPr="00E56051">
        <w:rPr>
          <w:sz w:val="22"/>
          <w:szCs w:val="22"/>
        </w:rPr>
        <w:t>, 2015;</w:t>
      </w:r>
    </w:p>
    <w:p w14:paraId="7EC16FDB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/>
          <w:sz w:val="22"/>
          <w:szCs w:val="22"/>
        </w:rPr>
      </w:pPr>
      <w:r w:rsidRPr="00E56051">
        <w:rPr>
          <w:i/>
          <w:sz w:val="22"/>
          <w:szCs w:val="22"/>
        </w:rPr>
        <w:t xml:space="preserve">La comunicazione di un Ministro attraverso un social network integra gli estremi di un atto amministrativo? </w:t>
      </w:r>
      <w:r w:rsidRPr="00E56051">
        <w:rPr>
          <w:sz w:val="22"/>
          <w:szCs w:val="22"/>
        </w:rPr>
        <w:t>in</w:t>
      </w:r>
      <w:r w:rsidRPr="00E56051">
        <w:rPr>
          <w:i/>
          <w:sz w:val="22"/>
          <w:szCs w:val="22"/>
        </w:rPr>
        <w:t xml:space="preserve"> Giornale di diritto amministrativo, 2015;</w:t>
      </w:r>
    </w:p>
    <w:p w14:paraId="5DED2835" w14:textId="77777777" w:rsidR="00A56413" w:rsidRPr="00EB448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 w:rsidRPr="00B1577C">
        <w:rPr>
          <w:i/>
          <w:sz w:val="22"/>
          <w:szCs w:val="22"/>
        </w:rPr>
        <w:t>I cinque dilemmi del lobbying</w:t>
      </w:r>
      <w:r w:rsidRPr="00B1577C">
        <w:rPr>
          <w:sz w:val="22"/>
          <w:szCs w:val="22"/>
        </w:rPr>
        <w:t xml:space="preserve">, </w:t>
      </w:r>
      <w:r w:rsidRPr="00E56051">
        <w:rPr>
          <w:rStyle w:val="Enfasicorsivo"/>
          <w:i w:val="0"/>
          <w:sz w:val="22"/>
        </w:rPr>
        <w:t>in</w:t>
      </w:r>
      <w:r w:rsidRPr="00B1577C">
        <w:rPr>
          <w:rStyle w:val="Enfasicorsivo"/>
          <w:sz w:val="22"/>
        </w:rPr>
        <w:t xml:space="preserve"> Rivista trimestrale di diritto pubblico, Milano,</w:t>
      </w:r>
      <w:r w:rsidRPr="00B1577C">
        <w:rPr>
          <w:i/>
          <w:sz w:val="22"/>
          <w:szCs w:val="22"/>
        </w:rPr>
        <w:t xml:space="preserve"> </w:t>
      </w:r>
      <w:r w:rsidRPr="00B1577C">
        <w:rPr>
          <w:rStyle w:val="Enfasicorsivo"/>
          <w:sz w:val="22"/>
        </w:rPr>
        <w:t>2014;</w:t>
      </w:r>
    </w:p>
    <w:p w14:paraId="6E2C58A3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sz w:val="22"/>
          <w:szCs w:val="22"/>
          <w:lang w:val="en-GB" w:eastAsia="en-US"/>
        </w:rPr>
      </w:pPr>
      <w:r w:rsidRPr="00E56051">
        <w:rPr>
          <w:rStyle w:val="Enfasicorsivo"/>
          <w:sz w:val="22"/>
          <w:szCs w:val="22"/>
          <w:lang w:val="en-GB" w:eastAsia="en-US"/>
        </w:rPr>
        <w:t xml:space="preserve">Trasparenza e incompatibilità nella disciplina dei gruppi di pressione, </w:t>
      </w:r>
      <w:r w:rsidRPr="00E56051">
        <w:rPr>
          <w:rStyle w:val="Enfasicorsivo"/>
          <w:i w:val="0"/>
          <w:sz w:val="22"/>
          <w:szCs w:val="22"/>
          <w:lang w:val="en-GB" w:eastAsia="en-US"/>
        </w:rPr>
        <w:t>in</w:t>
      </w:r>
      <w:r w:rsidRPr="00E56051">
        <w:rPr>
          <w:rStyle w:val="Enfasicorsivo"/>
          <w:sz w:val="22"/>
          <w:szCs w:val="22"/>
          <w:lang w:val="en-GB" w:eastAsia="en-US"/>
        </w:rPr>
        <w:t xml:space="preserve"> Rivista trimestrale di diritto pubblico, 2014;</w:t>
      </w:r>
    </w:p>
    <w:p w14:paraId="365147D2" w14:textId="77777777" w:rsidR="00A56413" w:rsidRPr="00E35408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 w:rsidRPr="00E35408">
        <w:rPr>
          <w:rStyle w:val="Enfasicorsivo"/>
          <w:i w:val="0"/>
          <w:sz w:val="22"/>
        </w:rPr>
        <w:t>Digital Participation: The Case of the Italian Dialogue With Citizens, in International Journal of Human rights and Constitutional Studies, I, 2014;</w:t>
      </w:r>
    </w:p>
    <w:p w14:paraId="673D1EA0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i/>
          <w:sz w:val="22"/>
          <w:szCs w:val="22"/>
        </w:rPr>
        <w:t xml:space="preserve">Interessi comuni? L’inclusione di attori privati nelle politiche locali, tra </w:t>
      </w:r>
      <w:r w:rsidRPr="00B1577C">
        <w:rPr>
          <w:sz w:val="22"/>
          <w:szCs w:val="22"/>
        </w:rPr>
        <w:t>lobbying</w:t>
      </w:r>
      <w:r w:rsidRPr="00B1577C">
        <w:rPr>
          <w:i/>
          <w:sz w:val="22"/>
          <w:szCs w:val="22"/>
        </w:rPr>
        <w:t xml:space="preserve"> e partecipazione</w:t>
      </w:r>
      <w:r w:rsidRPr="00B1577C">
        <w:rPr>
          <w:sz w:val="22"/>
          <w:szCs w:val="22"/>
        </w:rPr>
        <w:t xml:space="preserve">, </w:t>
      </w:r>
      <w:r w:rsidRPr="00B1577C">
        <w:rPr>
          <w:i/>
          <w:sz w:val="22"/>
          <w:szCs w:val="22"/>
        </w:rPr>
        <w:t xml:space="preserve">in Comuni d’Italia, IV-V </w:t>
      </w:r>
      <w:r w:rsidRPr="00B1577C">
        <w:rPr>
          <w:sz w:val="22"/>
          <w:szCs w:val="22"/>
        </w:rPr>
        <w:t>2013</w:t>
      </w:r>
      <w:r w:rsidRPr="00B1577C">
        <w:rPr>
          <w:i/>
          <w:sz w:val="22"/>
          <w:szCs w:val="22"/>
        </w:rPr>
        <w:t>;</w:t>
      </w:r>
    </w:p>
    <w:p w14:paraId="2ECCCA13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rFonts w:eastAsia="ＭＳ 明朝"/>
          <w:i/>
          <w:sz w:val="22"/>
          <w:szCs w:val="22"/>
        </w:rPr>
        <w:t>Caccia al voto (in rete). La campagna elettorale 2013 tra Twitter e Facebook</w:t>
      </w:r>
      <w:r w:rsidRPr="00B1577C">
        <w:rPr>
          <w:rFonts w:eastAsia="ＭＳ 明朝"/>
          <w:sz w:val="22"/>
          <w:szCs w:val="22"/>
        </w:rPr>
        <w:t xml:space="preserve">, </w:t>
      </w:r>
      <w:r w:rsidRPr="00B1577C">
        <w:rPr>
          <w:rFonts w:eastAsia="ＭＳ 明朝"/>
          <w:i/>
          <w:sz w:val="22"/>
          <w:szCs w:val="22"/>
        </w:rPr>
        <w:t xml:space="preserve">in Rivista di Politica, </w:t>
      </w:r>
      <w:r w:rsidRPr="00B1577C">
        <w:rPr>
          <w:rFonts w:eastAsia="ＭＳ 明朝"/>
          <w:sz w:val="22"/>
          <w:szCs w:val="22"/>
        </w:rPr>
        <w:t>I, 2013;</w:t>
      </w:r>
    </w:p>
    <w:p w14:paraId="01710E9A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E56051">
        <w:rPr>
          <w:rStyle w:val="Enfasicorsivo"/>
          <w:sz w:val="22"/>
          <w:szCs w:val="22"/>
          <w:lang w:val="en-GB" w:eastAsia="en-US"/>
        </w:rPr>
        <w:t xml:space="preserve">Una legge per la </w:t>
      </w:r>
      <w:r w:rsidRPr="00E56051">
        <w:rPr>
          <w:rStyle w:val="Enfasicorsivo"/>
          <w:i w:val="0"/>
          <w:sz w:val="22"/>
          <w:szCs w:val="22"/>
          <w:lang w:val="en-GB" w:eastAsia="en-US"/>
        </w:rPr>
        <w:t>lobby</w:t>
      </w:r>
      <w:r w:rsidRPr="00E56051">
        <w:rPr>
          <w:rStyle w:val="Enfasicorsivo"/>
          <w:sz w:val="22"/>
          <w:szCs w:val="22"/>
          <w:lang w:val="en-GB" w:eastAsia="en-US"/>
        </w:rPr>
        <w:t xml:space="preserve">: capitale per la democrazia, </w:t>
      </w:r>
      <w:r w:rsidRPr="00E56051">
        <w:rPr>
          <w:rStyle w:val="Enfasicorsivo"/>
          <w:i w:val="0"/>
          <w:sz w:val="22"/>
          <w:szCs w:val="22"/>
          <w:lang w:val="en-GB" w:eastAsia="en-US"/>
        </w:rPr>
        <w:t>in</w:t>
      </w:r>
      <w:r w:rsidRPr="00E56051">
        <w:rPr>
          <w:rStyle w:val="Enfasicorsivo"/>
          <w:sz w:val="22"/>
          <w:szCs w:val="22"/>
          <w:lang w:val="en-GB" w:eastAsia="en-US"/>
        </w:rPr>
        <w:t xml:space="preserve"> Rivista di Politica, </w:t>
      </w:r>
      <w:r w:rsidRPr="00E56051">
        <w:rPr>
          <w:rStyle w:val="Enfasicorsivo"/>
          <w:i w:val="0"/>
          <w:sz w:val="22"/>
          <w:szCs w:val="22"/>
          <w:lang w:val="en-GB" w:eastAsia="en-US"/>
        </w:rPr>
        <w:t>III,2013;</w:t>
      </w:r>
    </w:p>
    <w:p w14:paraId="6949D94C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sz w:val="22"/>
          <w:szCs w:val="22"/>
        </w:rPr>
        <w:t xml:space="preserve">Lobbying </w:t>
      </w:r>
      <w:r w:rsidRPr="00B1577C">
        <w:rPr>
          <w:i/>
          <w:sz w:val="22"/>
          <w:szCs w:val="22"/>
        </w:rPr>
        <w:t xml:space="preserve">e sistemi democratici. La rappresentanza degli interessi nel contesto italiano, in Rivista di Politica, </w:t>
      </w:r>
      <w:r w:rsidRPr="00B1577C">
        <w:rPr>
          <w:sz w:val="22"/>
          <w:szCs w:val="22"/>
        </w:rPr>
        <w:t>IV, 2012</w:t>
      </w:r>
      <w:r w:rsidRPr="00B1577C">
        <w:rPr>
          <w:i/>
          <w:sz w:val="22"/>
          <w:szCs w:val="22"/>
        </w:rPr>
        <w:t>;</w:t>
      </w:r>
    </w:p>
    <w:p w14:paraId="51223105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rStyle w:val="Enfasicorsivo"/>
          <w:color w:val="000000"/>
          <w:sz w:val="22"/>
          <w:szCs w:val="22"/>
        </w:rPr>
        <w:t>La riforma della difesa civica in Francia: il ruolo del Defenseur des droits francese</w:t>
      </w:r>
      <w:r w:rsidRPr="00B1577C">
        <w:rPr>
          <w:i/>
          <w:sz w:val="22"/>
        </w:rPr>
        <w:t xml:space="preserve"> in Giornale di diritto amministrativo, </w:t>
      </w:r>
      <w:r w:rsidRPr="00B1577C">
        <w:rPr>
          <w:sz w:val="22"/>
        </w:rPr>
        <w:t>VII, 2011</w:t>
      </w:r>
      <w:r w:rsidRPr="00B1577C">
        <w:rPr>
          <w:i/>
          <w:sz w:val="22"/>
        </w:rPr>
        <w:t>;</w:t>
      </w:r>
    </w:p>
    <w:p w14:paraId="27BF6E26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rStyle w:val="Enfasicorsivo"/>
          <w:color w:val="000000"/>
          <w:sz w:val="22"/>
        </w:rPr>
        <w:t>Le quattro ragioni di un paradosso: l’empasse della società civile nell’era della globalizzazione della democrazia</w:t>
      </w:r>
      <w:r w:rsidRPr="00B1577C">
        <w:rPr>
          <w:rStyle w:val="Enfasicorsivo"/>
          <w:smallCaps/>
          <w:color w:val="000000"/>
          <w:sz w:val="22"/>
        </w:rPr>
        <w:t xml:space="preserve">, </w:t>
      </w:r>
      <w:r w:rsidRPr="00B1577C">
        <w:rPr>
          <w:color w:val="000000"/>
          <w:sz w:val="22"/>
        </w:rPr>
        <w:t>in</w:t>
      </w:r>
      <w:r w:rsidRPr="00B1577C">
        <w:rPr>
          <w:i/>
          <w:color w:val="000000"/>
          <w:sz w:val="22"/>
        </w:rPr>
        <w:t xml:space="preserve"> Rivista di politica, IV, </w:t>
      </w:r>
      <w:r w:rsidRPr="00B1577C">
        <w:rPr>
          <w:color w:val="000000"/>
          <w:sz w:val="22"/>
        </w:rPr>
        <w:t>2011</w:t>
      </w:r>
      <w:r w:rsidRPr="00B1577C">
        <w:rPr>
          <w:i/>
          <w:color w:val="000000"/>
          <w:sz w:val="22"/>
        </w:rPr>
        <w:t>;</w:t>
      </w:r>
    </w:p>
    <w:p w14:paraId="75F17FC4" w14:textId="77777777" w:rsidR="00A56413" w:rsidRPr="00E56051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val="en-GB" w:eastAsia="en-US"/>
        </w:rPr>
      </w:pPr>
      <w:r w:rsidRPr="00E56051">
        <w:rPr>
          <w:rStyle w:val="Enfasicorsivo"/>
          <w:sz w:val="22"/>
          <w:szCs w:val="22"/>
          <w:lang w:val="en-GB" w:eastAsia="en-US"/>
        </w:rPr>
        <w:t xml:space="preserve">La democrazia partecipativa nelle regioni. La legge n. 14 del 2010 della regione Umbria, in Quaderni Regionali, </w:t>
      </w:r>
      <w:r w:rsidRPr="00E56051">
        <w:rPr>
          <w:rStyle w:val="Enfasicorsivo"/>
          <w:i w:val="0"/>
          <w:sz w:val="22"/>
          <w:szCs w:val="22"/>
          <w:lang w:val="en-GB" w:eastAsia="en-US"/>
        </w:rPr>
        <w:t>II, 2011;</w:t>
      </w:r>
    </w:p>
    <w:p w14:paraId="4CBF8BD9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grassetto"/>
          <w:b w:val="0"/>
          <w:bCs w:val="0"/>
          <w:iCs/>
          <w:color w:val="000000"/>
          <w:sz w:val="22"/>
          <w:szCs w:val="22"/>
          <w:lang w:val="en-GB" w:eastAsia="en-US"/>
        </w:rPr>
      </w:pPr>
      <w:r w:rsidRPr="00B1577C">
        <w:rPr>
          <w:rStyle w:val="Enfasicorsivo"/>
          <w:sz w:val="22"/>
          <w:lang w:val="en-GB"/>
        </w:rPr>
        <w:t xml:space="preserve">Democrazia di prossimità e legislazione regionale. Le leggi n. 69 del 2007 della regione Toscana e n. 3 del 2010 della regione Emilia-Romagna, in </w:t>
      </w:r>
      <w:r w:rsidRPr="00B1577C">
        <w:rPr>
          <w:i/>
          <w:color w:val="000000"/>
          <w:sz w:val="22"/>
          <w:lang w:val="en-GB"/>
        </w:rPr>
        <w:t>Scientia Iuris</w:t>
      </w:r>
      <w:r w:rsidRPr="00B1577C">
        <w:rPr>
          <w:color w:val="000000"/>
          <w:sz w:val="22"/>
          <w:lang w:val="en-GB"/>
        </w:rPr>
        <w:t xml:space="preserve">, Universitade Estadual de Londrina (UEL) – </w:t>
      </w:r>
      <w:r w:rsidRPr="00B1577C">
        <w:rPr>
          <w:rStyle w:val="Enfasigrassetto"/>
          <w:b w:val="0"/>
          <w:color w:val="000000"/>
          <w:sz w:val="22"/>
          <w:lang w:val="en-GB"/>
        </w:rPr>
        <w:t xml:space="preserve">Centro de Estudos Sociais Aplicados, Mestrado em Direito Negocial, Estrutura Administrativa, </w:t>
      </w:r>
      <w:r w:rsidRPr="00B1577C">
        <w:rPr>
          <w:rStyle w:val="Enfasigrassetto"/>
          <w:b w:val="0"/>
          <w:i/>
          <w:color w:val="000000"/>
          <w:sz w:val="22"/>
          <w:lang w:val="en-GB"/>
        </w:rPr>
        <w:t xml:space="preserve">XII, </w:t>
      </w:r>
      <w:r w:rsidRPr="00B1577C">
        <w:rPr>
          <w:rStyle w:val="Enfasigrassetto"/>
          <w:b w:val="0"/>
          <w:color w:val="000000"/>
          <w:sz w:val="22"/>
          <w:lang w:val="en-GB"/>
        </w:rPr>
        <w:t>2010</w:t>
      </w:r>
      <w:r w:rsidRPr="00B1577C">
        <w:rPr>
          <w:rStyle w:val="Enfasigrassetto"/>
          <w:b w:val="0"/>
          <w:i/>
          <w:color w:val="000000"/>
          <w:sz w:val="22"/>
          <w:lang w:val="en-GB"/>
        </w:rPr>
        <w:t>;</w:t>
      </w:r>
    </w:p>
    <w:p w14:paraId="6B64D13B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val="en-GB" w:eastAsia="en-US"/>
        </w:rPr>
      </w:pPr>
      <w:r w:rsidRPr="00B1577C">
        <w:rPr>
          <w:color w:val="000000"/>
          <w:sz w:val="22"/>
          <w:szCs w:val="22"/>
          <w:lang w:val="en-GB"/>
        </w:rPr>
        <w:t>Decentralization, Integration and Transposition: Three Models of Participation in the Global Legal Order</w:t>
      </w:r>
      <w:r w:rsidRPr="00B1577C">
        <w:rPr>
          <w:i/>
          <w:color w:val="000000"/>
          <w:sz w:val="22"/>
          <w:lang w:val="en-GB"/>
        </w:rPr>
        <w:t xml:space="preserve">, </w:t>
      </w:r>
      <w:r w:rsidRPr="00B1577C">
        <w:rPr>
          <w:color w:val="000000"/>
          <w:sz w:val="22"/>
          <w:lang w:val="en-GB"/>
        </w:rPr>
        <w:t>in Indian Yearbook of International Law, I, 2010</w:t>
      </w:r>
      <w:r w:rsidRPr="00B1577C">
        <w:rPr>
          <w:i/>
          <w:color w:val="000000"/>
          <w:sz w:val="22"/>
          <w:lang w:val="en-GB"/>
        </w:rPr>
        <w:t>;</w:t>
      </w:r>
    </w:p>
    <w:p w14:paraId="15BBB6A1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eastAsia="en-US"/>
        </w:rPr>
      </w:pPr>
      <w:r w:rsidRPr="0088132E">
        <w:rPr>
          <w:rStyle w:val="Enfasicorsivo"/>
          <w:sz w:val="22"/>
          <w:szCs w:val="22"/>
        </w:rPr>
        <w:t>Proposte per la riforma della difesa civica in Italia. Dal difensore civico nazionale alla governance reticolare</w:t>
      </w:r>
      <w:r w:rsidRPr="0088132E">
        <w:rPr>
          <w:rStyle w:val="Enfasicorsivo"/>
          <w:sz w:val="22"/>
        </w:rPr>
        <w:t xml:space="preserve">, in </w:t>
      </w:r>
      <w:r w:rsidRPr="0088132E">
        <w:rPr>
          <w:rStyle w:val="Enfasicorsivo"/>
          <w:color w:val="000000"/>
          <w:sz w:val="22"/>
        </w:rPr>
        <w:t>Quaderni regionali, II, 2010;</w:t>
      </w:r>
    </w:p>
    <w:p w14:paraId="5D59EB12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rStyle w:val="Enfasicorsivo"/>
          <w:color w:val="000000"/>
          <w:sz w:val="22"/>
          <w:szCs w:val="22"/>
        </w:rPr>
        <w:t>Le strutture amministrative per le celebrazioni dei 150 anni dell’Unità d’Italia</w:t>
      </w:r>
      <w:r w:rsidRPr="0088132E">
        <w:rPr>
          <w:rStyle w:val="Enfasicorsivo"/>
          <w:color w:val="000000"/>
          <w:sz w:val="22"/>
        </w:rPr>
        <w:t xml:space="preserve">, in </w:t>
      </w:r>
      <w:r w:rsidRPr="0088132E">
        <w:rPr>
          <w:i/>
          <w:sz w:val="22"/>
        </w:rPr>
        <w:t xml:space="preserve">Giornale di diritto amministrativo, </w:t>
      </w:r>
      <w:r w:rsidRPr="0088132E">
        <w:rPr>
          <w:sz w:val="22"/>
        </w:rPr>
        <w:t>VI, 2010;</w:t>
      </w:r>
    </w:p>
    <w:p w14:paraId="5D9BEE4C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eastAsia="en-US"/>
        </w:rPr>
      </w:pPr>
      <w:r w:rsidRPr="0088132E">
        <w:rPr>
          <w:rStyle w:val="Enfasicorsivo"/>
          <w:sz w:val="22"/>
          <w:szCs w:val="22"/>
        </w:rPr>
        <w:t>Il sistema di reclutamento e lo status giuridico degli enseignants-chercheurs di diritto in Francia</w:t>
      </w:r>
      <w:r w:rsidRPr="0088132E">
        <w:rPr>
          <w:rStyle w:val="Enfasicorsivo"/>
          <w:sz w:val="22"/>
        </w:rPr>
        <w:t>, in Rivista trimestrale di diritto pubblico, III, 2010;</w:t>
      </w:r>
    </w:p>
    <w:p w14:paraId="4211D4DE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eastAsia="en-US"/>
        </w:rPr>
      </w:pPr>
      <w:r w:rsidRPr="0088132E">
        <w:rPr>
          <w:rStyle w:val="Enfasicorsivo"/>
          <w:color w:val="000000"/>
          <w:sz w:val="22"/>
        </w:rPr>
        <w:t xml:space="preserve">Proactive Strategies in the Global Legality Review, </w:t>
      </w:r>
      <w:r w:rsidRPr="0088132E">
        <w:rPr>
          <w:rStyle w:val="Enfasicorsivo"/>
          <w:sz w:val="22"/>
        </w:rPr>
        <w:t>in Rivista trimestrale di diritto pubblico, I, 2010;</w:t>
      </w:r>
    </w:p>
    <w:p w14:paraId="41201AC5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sz w:val="22"/>
          <w:szCs w:val="22"/>
        </w:rPr>
        <w:t xml:space="preserve">La riforma dello statuto degli </w:t>
      </w:r>
      <w:r w:rsidRPr="0088132E">
        <w:rPr>
          <w:sz w:val="22"/>
          <w:szCs w:val="22"/>
        </w:rPr>
        <w:t>enseignants-chercheurs</w:t>
      </w:r>
      <w:r w:rsidRPr="0088132E">
        <w:rPr>
          <w:i/>
          <w:sz w:val="22"/>
          <w:szCs w:val="22"/>
        </w:rPr>
        <w:t xml:space="preserve"> in Francia. La nuova </w:t>
      </w:r>
      <w:r w:rsidRPr="0088132E">
        <w:rPr>
          <w:sz w:val="22"/>
          <w:szCs w:val="22"/>
        </w:rPr>
        <w:t>governance</w:t>
      </w:r>
      <w:r w:rsidRPr="0088132E">
        <w:rPr>
          <w:i/>
          <w:sz w:val="22"/>
          <w:szCs w:val="22"/>
        </w:rPr>
        <w:t xml:space="preserve"> dell’educazione superiore</w:t>
      </w:r>
      <w:r w:rsidRPr="0088132E">
        <w:rPr>
          <w:i/>
          <w:sz w:val="22"/>
        </w:rPr>
        <w:t xml:space="preserve">, </w:t>
      </w:r>
      <w:r w:rsidRPr="0088132E">
        <w:rPr>
          <w:sz w:val="22"/>
        </w:rPr>
        <w:t>in</w:t>
      </w:r>
      <w:r w:rsidRPr="0088132E">
        <w:rPr>
          <w:i/>
          <w:sz w:val="22"/>
        </w:rPr>
        <w:t xml:space="preserve"> Giornale di diritto amministrativo</w:t>
      </w:r>
      <w:r w:rsidRPr="0088132E">
        <w:rPr>
          <w:sz w:val="22"/>
        </w:rPr>
        <w:t>, I, 2010;</w:t>
      </w:r>
    </w:p>
    <w:p w14:paraId="07AFD468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corsivo"/>
          <w:i w:val="0"/>
          <w:color w:val="000000"/>
          <w:sz w:val="22"/>
          <w:szCs w:val="22"/>
          <w:lang w:eastAsia="en-US"/>
        </w:rPr>
      </w:pPr>
      <w:r w:rsidRPr="0088132E">
        <w:rPr>
          <w:rStyle w:val="Enfasicorsivo"/>
          <w:color w:val="000000"/>
          <w:sz w:val="22"/>
          <w:szCs w:val="22"/>
        </w:rPr>
        <w:t>Modelli procedimentali di partecipazione alle procedure di regolazione generale su scala regionale</w:t>
      </w:r>
      <w:r w:rsidRPr="0088132E">
        <w:rPr>
          <w:rStyle w:val="Enfasicorsivo"/>
          <w:color w:val="000000"/>
          <w:sz w:val="22"/>
        </w:rPr>
        <w:t>, in Quaderni regionali, III, 2009;</w:t>
      </w:r>
    </w:p>
    <w:p w14:paraId="7F744F47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grassetto"/>
          <w:b w:val="0"/>
          <w:bCs w:val="0"/>
          <w:iCs/>
          <w:color w:val="000000"/>
          <w:sz w:val="22"/>
          <w:szCs w:val="22"/>
          <w:lang w:val="en-GB" w:eastAsia="en-US"/>
        </w:rPr>
      </w:pPr>
      <w:r w:rsidRPr="00B1577C">
        <w:rPr>
          <w:rStyle w:val="Enfasicorsivo"/>
          <w:color w:val="000000"/>
          <w:sz w:val="22"/>
          <w:szCs w:val="22"/>
          <w:lang w:val="en-GB"/>
        </w:rPr>
        <w:t>Le garanzie nelle procedure individuali dell’Unione europea</w:t>
      </w:r>
      <w:r w:rsidRPr="00B1577C">
        <w:rPr>
          <w:rStyle w:val="Enfasicorsivo"/>
          <w:color w:val="000000"/>
          <w:sz w:val="22"/>
          <w:lang w:val="en-GB"/>
        </w:rPr>
        <w:t xml:space="preserve">, in </w:t>
      </w:r>
      <w:r w:rsidRPr="00B1577C">
        <w:rPr>
          <w:i/>
          <w:color w:val="000000"/>
          <w:sz w:val="22"/>
          <w:lang w:val="en-GB"/>
        </w:rPr>
        <w:t xml:space="preserve">Scientia Iuris, </w:t>
      </w:r>
      <w:r w:rsidRPr="00B1577C">
        <w:rPr>
          <w:color w:val="000000"/>
          <w:sz w:val="22"/>
          <w:lang w:val="en-GB"/>
        </w:rPr>
        <w:t xml:space="preserve">Universitade Estadual de Londrina (UEL) – </w:t>
      </w:r>
      <w:r w:rsidRPr="00B1577C">
        <w:rPr>
          <w:rStyle w:val="Enfasigrassetto"/>
          <w:b w:val="0"/>
          <w:color w:val="000000"/>
          <w:sz w:val="22"/>
          <w:lang w:val="en-GB"/>
        </w:rPr>
        <w:t>Centro de Estudos Sociais Aplicados, Mestrado em Direito Negocial, Estrutura Administrativa, XII, 2009;</w:t>
      </w:r>
    </w:p>
    <w:p w14:paraId="2C124B28" w14:textId="77777777" w:rsidR="00A56413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Style w:val="Enfasigrassetto"/>
          <w:b w:val="0"/>
          <w:bCs w:val="0"/>
          <w:iCs/>
          <w:color w:val="000000"/>
          <w:sz w:val="22"/>
          <w:szCs w:val="22"/>
          <w:lang w:val="en-GB" w:eastAsia="en-US"/>
        </w:rPr>
      </w:pPr>
      <w:r w:rsidRPr="00B1577C">
        <w:rPr>
          <w:rStyle w:val="Enfasicorsivo"/>
          <w:color w:val="000000"/>
          <w:sz w:val="22"/>
          <w:szCs w:val="22"/>
          <w:lang w:val="en-GB"/>
        </w:rPr>
        <w:t>La Class action in Italia. Un’analisi comparata</w:t>
      </w:r>
      <w:r w:rsidRPr="00B1577C">
        <w:rPr>
          <w:rStyle w:val="Enfasicorsivo"/>
          <w:color w:val="000000"/>
          <w:sz w:val="22"/>
          <w:lang w:val="en-GB"/>
        </w:rPr>
        <w:t xml:space="preserve">, in </w:t>
      </w:r>
      <w:r w:rsidRPr="00B1577C">
        <w:rPr>
          <w:i/>
          <w:color w:val="000000"/>
          <w:sz w:val="22"/>
          <w:lang w:val="en-GB"/>
        </w:rPr>
        <w:t xml:space="preserve">Scientia Iuris, </w:t>
      </w:r>
      <w:r w:rsidRPr="00B1577C">
        <w:rPr>
          <w:color w:val="000000"/>
          <w:sz w:val="22"/>
          <w:lang w:val="en-GB"/>
        </w:rPr>
        <w:t>Universitade Estadual de Londrina (UEL)</w:t>
      </w:r>
      <w:r w:rsidRPr="00B1577C">
        <w:rPr>
          <w:b/>
          <w:color w:val="000000"/>
          <w:sz w:val="22"/>
          <w:lang w:val="en-GB"/>
        </w:rPr>
        <w:t xml:space="preserve"> – </w:t>
      </w:r>
      <w:r w:rsidRPr="00B1577C">
        <w:rPr>
          <w:rStyle w:val="Enfasigrassetto"/>
          <w:b w:val="0"/>
          <w:color w:val="000000"/>
          <w:sz w:val="22"/>
          <w:lang w:val="en-GB"/>
        </w:rPr>
        <w:t>Centro de Estudos Sociais Aplicados, Mestrado em Direito Negocial, Estrutura Administrativa</w:t>
      </w:r>
      <w:r w:rsidRPr="00B1577C">
        <w:rPr>
          <w:rStyle w:val="Enfasigrassetto"/>
          <w:b w:val="0"/>
          <w:i/>
          <w:color w:val="000000"/>
          <w:sz w:val="22"/>
          <w:lang w:val="en-GB"/>
        </w:rPr>
        <w:t xml:space="preserve">, </w:t>
      </w:r>
      <w:r w:rsidRPr="00B1577C">
        <w:rPr>
          <w:rStyle w:val="Enfasigrassetto"/>
          <w:b w:val="0"/>
          <w:color w:val="000000"/>
          <w:sz w:val="22"/>
          <w:lang w:val="en-GB"/>
        </w:rPr>
        <w:t>XII, 2008;</w:t>
      </w:r>
    </w:p>
    <w:p w14:paraId="54DA1AD1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sz w:val="22"/>
          <w:szCs w:val="22"/>
        </w:rPr>
        <w:t>Modelli di partecipazione alle procedure di regolazione generale su scala regionale</w:t>
      </w:r>
      <w:r w:rsidRPr="0088132E">
        <w:rPr>
          <w:i/>
          <w:sz w:val="22"/>
        </w:rPr>
        <w:t xml:space="preserve">, </w:t>
      </w:r>
      <w:r w:rsidRPr="0088132E">
        <w:rPr>
          <w:sz w:val="22"/>
        </w:rPr>
        <w:t>in</w:t>
      </w:r>
      <w:r w:rsidRPr="0088132E">
        <w:rPr>
          <w:i/>
          <w:sz w:val="22"/>
        </w:rPr>
        <w:t xml:space="preserve"> Giornale di diritto amministrativo, </w:t>
      </w:r>
      <w:r w:rsidRPr="0088132E">
        <w:rPr>
          <w:sz w:val="22"/>
        </w:rPr>
        <w:t>IX, 2008;</w:t>
      </w:r>
    </w:p>
    <w:p w14:paraId="4E43A33C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color w:val="000000"/>
          <w:sz w:val="22"/>
          <w:szCs w:val="22"/>
        </w:rPr>
        <w:t>La direttiva 1904/2006/CE e le misure di promozione della cittadinanza europea</w:t>
      </w:r>
      <w:r w:rsidRPr="0088132E">
        <w:rPr>
          <w:i/>
          <w:color w:val="000000"/>
          <w:sz w:val="22"/>
        </w:rPr>
        <w:t xml:space="preserve">, </w:t>
      </w:r>
      <w:r w:rsidRPr="0088132E">
        <w:rPr>
          <w:color w:val="000000"/>
          <w:sz w:val="22"/>
        </w:rPr>
        <w:t>in</w:t>
      </w:r>
      <w:r w:rsidRPr="0088132E">
        <w:rPr>
          <w:i/>
          <w:color w:val="000000"/>
          <w:sz w:val="22"/>
        </w:rPr>
        <w:t xml:space="preserve"> </w:t>
      </w:r>
      <w:r w:rsidRPr="0088132E">
        <w:rPr>
          <w:i/>
          <w:sz w:val="22"/>
        </w:rPr>
        <w:t xml:space="preserve">Giornale di diritto amministrativo, </w:t>
      </w:r>
      <w:r w:rsidRPr="0088132E">
        <w:rPr>
          <w:color w:val="000000"/>
          <w:sz w:val="22"/>
        </w:rPr>
        <w:t>I, 2008;</w:t>
      </w:r>
    </w:p>
    <w:p w14:paraId="13DA1070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color w:val="000000"/>
          <w:sz w:val="22"/>
          <w:szCs w:val="22"/>
        </w:rPr>
        <w:t>La relazione annuale dell’Ombudsman europeo per il 2006</w:t>
      </w:r>
      <w:r w:rsidRPr="0088132E">
        <w:rPr>
          <w:i/>
          <w:color w:val="000000"/>
          <w:sz w:val="22"/>
        </w:rPr>
        <w:t xml:space="preserve">, </w:t>
      </w:r>
      <w:r w:rsidRPr="0088132E">
        <w:rPr>
          <w:color w:val="000000"/>
          <w:sz w:val="22"/>
        </w:rPr>
        <w:t>in</w:t>
      </w:r>
      <w:r w:rsidRPr="0088132E">
        <w:rPr>
          <w:i/>
          <w:color w:val="000000"/>
          <w:sz w:val="22"/>
        </w:rPr>
        <w:t xml:space="preserve"> </w:t>
      </w:r>
      <w:r w:rsidRPr="0088132E">
        <w:rPr>
          <w:i/>
          <w:sz w:val="22"/>
        </w:rPr>
        <w:t xml:space="preserve">Giornale di diritto amministrativo, </w:t>
      </w:r>
      <w:r w:rsidRPr="0088132E">
        <w:rPr>
          <w:color w:val="000000"/>
          <w:sz w:val="22"/>
        </w:rPr>
        <w:t>VI, 2007;</w:t>
      </w:r>
    </w:p>
    <w:p w14:paraId="2FB551C9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color w:val="000000"/>
          <w:sz w:val="22"/>
          <w:szCs w:val="22"/>
        </w:rPr>
        <w:t>La legittimazione ad agire di soggetti privati e pubblici contro gli atti delle istituzioni comunitarie</w:t>
      </w:r>
      <w:r w:rsidRPr="0088132E">
        <w:rPr>
          <w:i/>
          <w:color w:val="000000"/>
          <w:sz w:val="22"/>
        </w:rPr>
        <w:t xml:space="preserve">, </w:t>
      </w:r>
      <w:r w:rsidRPr="0088132E">
        <w:rPr>
          <w:color w:val="000000"/>
          <w:sz w:val="22"/>
        </w:rPr>
        <w:t>in</w:t>
      </w:r>
      <w:r w:rsidRPr="0088132E">
        <w:rPr>
          <w:i/>
          <w:color w:val="000000"/>
          <w:sz w:val="22"/>
        </w:rPr>
        <w:t xml:space="preserve"> </w:t>
      </w:r>
      <w:r w:rsidRPr="0088132E">
        <w:rPr>
          <w:i/>
          <w:sz w:val="22"/>
        </w:rPr>
        <w:t xml:space="preserve">Giornale di diritto amministrativo, </w:t>
      </w:r>
      <w:r w:rsidRPr="0088132E">
        <w:rPr>
          <w:color w:val="000000"/>
          <w:sz w:val="22"/>
        </w:rPr>
        <w:t>II, 2007;</w:t>
      </w:r>
      <w:r w:rsidRPr="0088132E">
        <w:rPr>
          <w:i/>
          <w:color w:val="000000"/>
          <w:sz w:val="22"/>
        </w:rPr>
        <w:t xml:space="preserve"> </w:t>
      </w:r>
    </w:p>
    <w:p w14:paraId="5A0F4F3B" w14:textId="77777777" w:rsidR="00A56413" w:rsidRPr="0088132E" w:rsidRDefault="00A56413" w:rsidP="00A56413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iCs/>
          <w:color w:val="000000"/>
          <w:sz w:val="22"/>
          <w:szCs w:val="22"/>
          <w:lang w:eastAsia="en-US"/>
        </w:rPr>
      </w:pPr>
      <w:r w:rsidRPr="0088132E">
        <w:rPr>
          <w:i/>
          <w:sz w:val="22"/>
          <w:szCs w:val="22"/>
        </w:rPr>
        <w:t>La direttiva ministeriale “Per una Pubblica amministrazione di qualità”: vecchi problemi e nuove proposte di riforma</w:t>
      </w:r>
      <w:r w:rsidRPr="0088132E">
        <w:rPr>
          <w:i/>
          <w:sz w:val="22"/>
        </w:rPr>
        <w:t xml:space="preserve">, </w:t>
      </w:r>
      <w:r w:rsidRPr="0088132E">
        <w:rPr>
          <w:sz w:val="22"/>
        </w:rPr>
        <w:t>in</w:t>
      </w:r>
      <w:r w:rsidRPr="0088132E">
        <w:rPr>
          <w:i/>
          <w:sz w:val="22"/>
        </w:rPr>
        <w:t xml:space="preserve"> Giornale di diritto amministrativo, I, 2007. </w:t>
      </w:r>
    </w:p>
    <w:p w14:paraId="185F61A7" w14:textId="77777777" w:rsidR="00A56413" w:rsidRPr="0088132E" w:rsidRDefault="00A56413" w:rsidP="00A56413">
      <w:pPr>
        <w:tabs>
          <w:tab w:val="left" w:pos="1134"/>
        </w:tabs>
        <w:autoSpaceDE w:val="0"/>
        <w:autoSpaceDN w:val="0"/>
        <w:adjustRightInd w:val="0"/>
        <w:jc w:val="both"/>
        <w:rPr>
          <w:i/>
          <w:sz w:val="22"/>
        </w:rPr>
      </w:pPr>
    </w:p>
    <w:p w14:paraId="1E3207A1" w14:textId="77777777" w:rsidR="00A56413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>Research Notes</w:t>
      </w:r>
    </w:p>
    <w:p w14:paraId="005B7BAA" w14:textId="77777777" w:rsidR="00A56413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</w:p>
    <w:p w14:paraId="50A3E9DF" w14:textId="77777777" w:rsidR="00A56413" w:rsidRPr="00137557" w:rsidRDefault="00A56413" w:rsidP="00A56413">
      <w:pPr>
        <w:pStyle w:val="OiaeaeiYiio2"/>
        <w:widowControl/>
        <w:spacing w:before="20" w:after="20"/>
        <w:jc w:val="both"/>
        <w:rPr>
          <w:b/>
          <w:i w:val="0"/>
          <w:iCs/>
          <w:sz w:val="22"/>
          <w:szCs w:val="22"/>
          <w:u w:val="single"/>
          <w:lang w:val="en-GB"/>
        </w:rPr>
      </w:pPr>
      <w:r w:rsidRPr="00137557">
        <w:rPr>
          <w:i w:val="0"/>
          <w:sz w:val="22"/>
          <w:szCs w:val="22"/>
        </w:rPr>
        <w:t xml:space="preserve">1. </w:t>
      </w:r>
      <w:r w:rsidRPr="00137557">
        <w:rPr>
          <w:sz w:val="22"/>
          <w:szCs w:val="22"/>
        </w:rPr>
        <w:t xml:space="preserve">Due rapporti sull’amministrazione francese, </w:t>
      </w:r>
      <w:r w:rsidRPr="00137557">
        <w:rPr>
          <w:i w:val="0"/>
          <w:sz w:val="22"/>
          <w:szCs w:val="22"/>
        </w:rPr>
        <w:t>in</w:t>
      </w:r>
      <w:r w:rsidRPr="00137557">
        <w:rPr>
          <w:sz w:val="22"/>
          <w:szCs w:val="22"/>
        </w:rPr>
        <w:t xml:space="preserve"> Rivista trimestrale di diritto pubblico, n. 1/2014</w:t>
      </w:r>
    </w:p>
    <w:p w14:paraId="3B4FE3EF" w14:textId="77777777" w:rsidR="00A56413" w:rsidRDefault="00A56413" w:rsidP="00A56413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2. </w:t>
      </w:r>
      <w:r w:rsidRPr="00A051CD">
        <w:rPr>
          <w:rFonts w:ascii="Times New Roman" w:hAnsi="Times New Roman"/>
          <w:i/>
          <w:sz w:val="22"/>
          <w:szCs w:val="22"/>
        </w:rPr>
        <w:t>La legge cinese sull’attività coercitiva delle pubbliche amministrazioni</w:t>
      </w:r>
      <w:r w:rsidRPr="00A051CD">
        <w:rPr>
          <w:rFonts w:ascii="Times New Roman" w:hAnsi="Times New Roman"/>
          <w:sz w:val="22"/>
          <w:szCs w:val="22"/>
        </w:rPr>
        <w:t xml:space="preserve">, in Rivista trimestrale di diritto pubblico, n. 4/2011 </w:t>
      </w:r>
    </w:p>
    <w:p w14:paraId="02E81A79" w14:textId="77777777" w:rsidR="00A56413" w:rsidRDefault="00A56413" w:rsidP="00A56413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Pr="00A051CD">
        <w:rPr>
          <w:rFonts w:ascii="Times New Roman" w:hAnsi="Times New Roman"/>
          <w:i/>
          <w:sz w:val="22"/>
          <w:szCs w:val="22"/>
        </w:rPr>
        <w:t>Il rapporto 2011 del Conseil d’Etat sulla partecipazione</w:t>
      </w:r>
      <w:r w:rsidRPr="00A051CD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4/2011 </w:t>
      </w:r>
    </w:p>
    <w:p w14:paraId="1D4C54D9" w14:textId="77777777" w:rsidR="00A56413" w:rsidRPr="00A051CD" w:rsidRDefault="00A56413" w:rsidP="00A56413">
      <w:pPr>
        <w:pStyle w:val="Paragrafoelenco"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Pr="00A051CD">
        <w:rPr>
          <w:rFonts w:ascii="Times New Roman" w:hAnsi="Times New Roman"/>
          <w:i/>
          <w:sz w:val="22"/>
          <w:szCs w:val="22"/>
        </w:rPr>
        <w:t xml:space="preserve">Il Congresso statunitense approva il Plain Writing Act, </w:t>
      </w:r>
      <w:r w:rsidRPr="00A051CD">
        <w:rPr>
          <w:rFonts w:ascii="Times New Roman" w:hAnsi="Times New Roman"/>
          <w:sz w:val="22"/>
          <w:szCs w:val="22"/>
        </w:rPr>
        <w:t xml:space="preserve">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3/2011 </w:t>
      </w:r>
    </w:p>
    <w:p w14:paraId="145FC7DA" w14:textId="77777777" w:rsidR="00A56413" w:rsidRDefault="00A56413" w:rsidP="00A56413">
      <w:pPr>
        <w:jc w:val="both"/>
        <w:rPr>
          <w:sz w:val="22"/>
          <w:szCs w:val="22"/>
          <w:u w:val="single"/>
        </w:rPr>
      </w:pPr>
    </w:p>
    <w:p w14:paraId="3982B775" w14:textId="77777777" w:rsidR="00A56413" w:rsidRPr="00A051CD" w:rsidRDefault="00A56413" w:rsidP="00A56413">
      <w:pPr>
        <w:jc w:val="both"/>
        <w:rPr>
          <w:i/>
          <w:sz w:val="22"/>
          <w:szCs w:val="22"/>
          <w:u w:val="single"/>
        </w:rPr>
      </w:pPr>
      <w:r w:rsidRPr="00A051CD">
        <w:rPr>
          <w:rStyle w:val="Enfasicorsivo"/>
          <w:b/>
          <w:color w:val="000000"/>
          <w:sz w:val="22"/>
          <w:szCs w:val="22"/>
          <w:u w:val="single"/>
          <w:lang w:val="en-GB"/>
        </w:rPr>
        <w:t>Book Reviews</w:t>
      </w:r>
    </w:p>
    <w:p w14:paraId="66C4E55C" w14:textId="77777777" w:rsidR="00A56413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</w:rPr>
        <w:t xml:space="preserve">Grégory Houillon, Le lobbying en droit public, Bruylant, 2012,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>, n. 3/2013</w:t>
      </w:r>
    </w:p>
    <w:p w14:paraId="2A9FDCCE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</w:rPr>
        <w:t xml:space="preserve">Juan Ignacio Ugartemendia Eceizabarrena, La participation de las comunidades autonomas en el procedimiento legislativo europeo, Istituto Vasco de Administracion Publica, 2011,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>, n. 1/2012</w:t>
      </w:r>
    </w:p>
    <w:p w14:paraId="51E69145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</w:rPr>
        <w:t>P. Bernoux, La sociologie des organisations, Editions du Seuil, Paris, s</w:t>
      </w:r>
      <w:r>
        <w:rPr>
          <w:rFonts w:ascii="Times New Roman" w:hAnsi="Times New Roman"/>
          <w:sz w:val="22"/>
          <w:szCs w:val="22"/>
        </w:rPr>
        <w:t xml:space="preserve">ixiéme edition, 2009, </w:t>
      </w:r>
      <w:r w:rsidRPr="00A051CD">
        <w:rPr>
          <w:rFonts w:ascii="Times New Roman" w:hAnsi="Times New Roman"/>
          <w:sz w:val="22"/>
          <w:szCs w:val="22"/>
        </w:rPr>
        <w:t xml:space="preserve">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4/2009 </w:t>
      </w:r>
    </w:p>
    <w:p w14:paraId="155FD405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</w:rPr>
        <w:t xml:space="preserve">P. Rosanvallon, La contre-démocratie. La politique à l’age de la défiance, Editions du Seuil, Paris,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2/2009 </w:t>
      </w:r>
    </w:p>
    <w:p w14:paraId="18557007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</w:rPr>
        <w:t xml:space="preserve">M. Gauchet, La Démocratie d’une crise à l’autre, Editions Cécile Defaut, Nantes,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2/2009 </w:t>
      </w:r>
    </w:p>
    <w:p w14:paraId="20B77677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  <w:lang w:val="en-GB"/>
        </w:rPr>
        <w:t xml:space="preserve">P. Moreau Defarges, Relations internationales. </w:t>
      </w:r>
      <w:r w:rsidRPr="00A051CD">
        <w:rPr>
          <w:rFonts w:ascii="Times New Roman" w:hAnsi="Times New Roman"/>
          <w:sz w:val="22"/>
          <w:szCs w:val="22"/>
        </w:rPr>
        <w:t xml:space="preserve">Questions régionales, Editions du Seuil, Paris, 2009,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2/2009 </w:t>
      </w:r>
    </w:p>
    <w:p w14:paraId="3948765E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  <w:lang w:val="en-GB"/>
        </w:rPr>
      </w:pPr>
      <w:r w:rsidRPr="00A051CD">
        <w:rPr>
          <w:rFonts w:ascii="Times New Roman" w:hAnsi="Times New Roman"/>
          <w:sz w:val="22"/>
          <w:szCs w:val="22"/>
          <w:lang w:val="en-GB"/>
        </w:rPr>
        <w:t xml:space="preserve">R.B. Reich, Supercapitalism. The Transformation of Business, Democracy and Everyday Life, Vintage Books Inc., New York, 2007, 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1/2009 </w:t>
      </w:r>
    </w:p>
    <w:p w14:paraId="2BF1C466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  <w:lang w:val="en-GB"/>
        </w:rPr>
      </w:pPr>
      <w:r w:rsidRPr="00A051CD">
        <w:rPr>
          <w:rFonts w:ascii="Times New Roman" w:hAnsi="Times New Roman"/>
          <w:sz w:val="22"/>
          <w:szCs w:val="22"/>
          <w:lang w:val="en-GB"/>
        </w:rPr>
        <w:t xml:space="preserve">P. Delimatsis, International Trade in Services and Domestic Regulations. Necessity, Transparency, and Regulatory Diversity, Oxford Univesity Press, Oxford, 2007, 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3/2008 </w:t>
      </w:r>
    </w:p>
    <w:p w14:paraId="75084522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051CD">
        <w:rPr>
          <w:rFonts w:ascii="Times New Roman" w:hAnsi="Times New Roman"/>
          <w:sz w:val="22"/>
          <w:szCs w:val="22"/>
          <w:lang w:val="en-GB"/>
        </w:rPr>
        <w:t xml:space="preserve">Larry Catà Backer (ed.), Harmonizing Law in an Era of Globalization. </w:t>
      </w:r>
      <w:r w:rsidRPr="00A051CD">
        <w:rPr>
          <w:rFonts w:ascii="Times New Roman" w:hAnsi="Times New Roman"/>
          <w:sz w:val="22"/>
          <w:szCs w:val="22"/>
        </w:rPr>
        <w:t xml:space="preserve">Convergence, Divergence, and Resistance, Carolina Academic Press, Durham,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3/2008 </w:t>
      </w:r>
    </w:p>
    <w:p w14:paraId="59511F83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G. Ufstein, T. Marauhn, A. Zimmermann (ed.), Making Treaties Work. Human Rights, Environment and Arms Control, Cambridge Univesity Press, Cambridge, 2007, 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2/2008 </w:t>
      </w:r>
    </w:p>
    <w:p w14:paraId="1832CFAA" w14:textId="77777777" w:rsidR="00A56413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A051CD">
        <w:rPr>
          <w:rFonts w:ascii="Times New Roman" w:hAnsi="Times New Roman"/>
          <w:sz w:val="22"/>
          <w:szCs w:val="22"/>
          <w:lang w:val="en-GB"/>
        </w:rPr>
        <w:t>A. Vedder (ed.), NGO Involvement in International Governance and Policy. Sources of Legitimacy, Martinus Nijhoff Publishers, Leiden, Boston, 2007,</w:t>
      </w:r>
      <w:r w:rsidRPr="00A051CD">
        <w:rPr>
          <w:b/>
          <w:sz w:val="22"/>
          <w:szCs w:val="22"/>
          <w:lang w:val="en-GB"/>
        </w:rPr>
        <w:t xml:space="preserve"> 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2/2008 </w:t>
      </w:r>
    </w:p>
    <w:p w14:paraId="705575E3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N. Woods, The Globalizers. The IMP, the World Bank, and Their Borrowers, Cornell University Press, Ithaca, London, 2007, 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2/2008 </w:t>
      </w:r>
    </w:p>
    <w:p w14:paraId="19986A19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051CD">
        <w:rPr>
          <w:rFonts w:ascii="Times New Roman" w:hAnsi="Times New Roman"/>
          <w:sz w:val="22"/>
          <w:szCs w:val="22"/>
        </w:rPr>
        <w:t xml:space="preserve">Presidenza del consiglio dei ministri, Dipartimento della funzione pubblica (a cura di), Il Decreto Legislativo 30 marzo 2001, n. 165 – “Norme generali sull’ordinamento del lavoro alle dipendenze delle amministrazioni pubbliche”, Roma,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1/2008 </w:t>
      </w:r>
    </w:p>
    <w:p w14:paraId="072AF277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Consiglio regionale del Lazio</w:t>
      </w:r>
      <w:r w:rsidRPr="00A051CD">
        <w:rPr>
          <w:rFonts w:ascii="Times New Roman" w:hAnsi="Times New Roman"/>
          <w:sz w:val="22"/>
          <w:szCs w:val="22"/>
        </w:rPr>
        <w:t xml:space="preserve">, Sentenze della Corte costituzionale di interesse regionale, I-II semestre 2006,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1/2008 </w:t>
      </w:r>
    </w:p>
    <w:p w14:paraId="15A4673F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OECD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Reviews of Regulatory Reform Italy; Ensuring Regulatory Quality across Levels of Government, Paris, 2007, in </w:t>
      </w:r>
      <w:r w:rsidRPr="00A051CD">
        <w:rPr>
          <w:rFonts w:ascii="Times New Roman" w:hAnsi="Times New Roman"/>
          <w:i/>
          <w:sz w:val="22"/>
          <w:szCs w:val="22"/>
          <w:lang w:val="en-GB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  <w:lang w:val="en-GB"/>
        </w:rPr>
        <w:t xml:space="preserve">, n. 1/2008 </w:t>
      </w:r>
    </w:p>
    <w:p w14:paraId="5F198F36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051CD">
        <w:rPr>
          <w:rFonts w:ascii="Times New Roman" w:hAnsi="Times New Roman"/>
          <w:sz w:val="22"/>
          <w:szCs w:val="22"/>
        </w:rPr>
        <w:t xml:space="preserve">Guido Melis (a cura di), </w:t>
      </w:r>
      <w:r w:rsidRPr="00A051CD">
        <w:rPr>
          <w:rFonts w:ascii="Times New Roman" w:hAnsi="Times New Roman"/>
          <w:i/>
          <w:sz w:val="22"/>
          <w:szCs w:val="22"/>
        </w:rPr>
        <w:t>Il consiglio di stato nella storia d’Italia. Le biografie dei magistrati (1861-1948)</w:t>
      </w:r>
      <w:r w:rsidRPr="00A051CD">
        <w:rPr>
          <w:rFonts w:ascii="Times New Roman" w:hAnsi="Times New Roman"/>
          <w:sz w:val="22"/>
          <w:szCs w:val="22"/>
        </w:rPr>
        <w:t xml:space="preserve">, Milano, 2007, 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3/2007 </w:t>
      </w:r>
    </w:p>
    <w:p w14:paraId="7297F4B6" w14:textId="77777777" w:rsidR="00A56413" w:rsidRPr="00A051CD" w:rsidRDefault="00A56413" w:rsidP="00A56413">
      <w:pPr>
        <w:pStyle w:val="Paragrafoelenco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A051CD">
        <w:rPr>
          <w:rFonts w:ascii="Times New Roman" w:hAnsi="Times New Roman"/>
          <w:i/>
          <w:sz w:val="22"/>
          <w:szCs w:val="22"/>
        </w:rPr>
        <w:t>Presidenza del Consiglio dei Ministri - Dipartimento della funzione pubblica, Codice del lavoro pubblico</w:t>
      </w:r>
      <w:r w:rsidRPr="00A051CD">
        <w:rPr>
          <w:rFonts w:ascii="Times New Roman" w:hAnsi="Times New Roman"/>
          <w:sz w:val="22"/>
          <w:szCs w:val="22"/>
        </w:rPr>
        <w:t>, 2006,</w:t>
      </w:r>
      <w:r w:rsidRPr="00A051CD">
        <w:rPr>
          <w:sz w:val="22"/>
          <w:szCs w:val="22"/>
        </w:rPr>
        <w:t xml:space="preserve"> </w:t>
      </w:r>
      <w:r w:rsidRPr="00A051CD">
        <w:rPr>
          <w:rFonts w:ascii="Times New Roman" w:hAnsi="Times New Roman"/>
          <w:sz w:val="22"/>
          <w:szCs w:val="22"/>
        </w:rPr>
        <w:t xml:space="preserve">in </w:t>
      </w:r>
      <w:r w:rsidRPr="00A051CD">
        <w:rPr>
          <w:rFonts w:ascii="Times New Roman" w:hAnsi="Times New Roman"/>
          <w:i/>
          <w:sz w:val="22"/>
          <w:szCs w:val="22"/>
        </w:rPr>
        <w:t>Rivista Trimestrale di diritto pubblico</w:t>
      </w:r>
      <w:r w:rsidRPr="00A051CD">
        <w:rPr>
          <w:rFonts w:ascii="Times New Roman" w:hAnsi="Times New Roman"/>
          <w:sz w:val="22"/>
          <w:szCs w:val="22"/>
        </w:rPr>
        <w:t xml:space="preserve">, n. 1/2007 </w:t>
      </w:r>
    </w:p>
    <w:p w14:paraId="4A93F21D" w14:textId="77777777" w:rsidR="00A56413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</w:p>
    <w:p w14:paraId="28BC1016" w14:textId="77777777" w:rsidR="00A56413" w:rsidRPr="00791DF1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  <w:r w:rsidRPr="00791DF1">
        <w:rPr>
          <w:rStyle w:val="Enfasicorsivo"/>
          <w:b/>
          <w:color w:val="000000"/>
          <w:sz w:val="22"/>
          <w:szCs w:val="22"/>
          <w:u w:val="single"/>
          <w:lang w:val="en-GB"/>
        </w:rPr>
        <w:t>Briefings and Reports</w:t>
      </w: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 xml:space="preserve"> – European Parliament Research Service</w:t>
      </w:r>
    </w:p>
    <w:p w14:paraId="51C1F5C1" w14:textId="77777777" w:rsidR="00A56413" w:rsidRDefault="00A56413" w:rsidP="00A56413"/>
    <w:p w14:paraId="18FDDE2F" w14:textId="77777777" w:rsidR="00A56413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>
        <w:rPr>
          <w:spacing w:val="-10"/>
          <w:sz w:val="22"/>
          <w:szCs w:val="22"/>
          <w:lang w:val="en"/>
        </w:rPr>
        <w:t>The EU Institutional Architecture to combat Fraud. Anatomy of a Network,</w:t>
      </w:r>
      <w:r w:rsidRPr="00137557">
        <w:rPr>
          <w:spacing w:val="-10"/>
          <w:sz w:val="22"/>
          <w:szCs w:val="22"/>
          <w:lang w:val="en"/>
        </w:rPr>
        <w:t xml:space="preserve"> European Parliamentary Research Service, </w:t>
      </w:r>
      <w:r>
        <w:rPr>
          <w:spacing w:val="-10"/>
          <w:sz w:val="22"/>
          <w:szCs w:val="22"/>
          <w:lang w:val="en"/>
        </w:rPr>
        <w:t>June 2018;</w:t>
      </w:r>
    </w:p>
    <w:p w14:paraId="5E416838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Promotion of democracy and peace in the world, European Parliamentary Research Service,  July 2016;</w:t>
      </w:r>
    </w:p>
    <w:p w14:paraId="0E482090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Future of Europe: Remember we have a choice!, European Parliamentary Research Service, April 2016;</w:t>
      </w:r>
    </w:p>
    <w:p w14:paraId="0015DD3A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Discharge for 2014 budget – EU decentralised agencies and joint undertakings, European Parliamentary Research Service,  April 2016;</w:t>
      </w:r>
    </w:p>
    <w:p w14:paraId="61D4B44A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2014 report on protection of the EU’s financial interest – Fight against fraud, European Parliamentary Research Service,  March 2016;</w:t>
      </w:r>
    </w:p>
    <w:p w14:paraId="381559E5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Participatory budgeting. An innovative approach, European Parliamentary Research Service, January 2016;</w:t>
      </w:r>
    </w:p>
    <w:p w14:paraId="26267398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Rights, Equality and Citizenship , European Parliamentary Research Service, December 2015;</w:t>
      </w:r>
    </w:p>
    <w:p w14:paraId="2C2D5A0C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Transparency of lobbying at EU level, European Parliamentary Research Service, December 2015;</w:t>
      </w:r>
    </w:p>
    <w:p w14:paraId="62E4514E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Electronic-budgeting: innovative approaches to budgeting, European Parliamentary Research Service, October 2015;</w:t>
      </w:r>
    </w:p>
    <w:p w14:paraId="6C0FFA18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Reforming EU’s Financial Rules, European Parliamentary Research Service, October 2015</w:t>
      </w:r>
    </w:p>
    <w:p w14:paraId="3BFA65FA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How the EU budget is spent: Europe for citizens, European Parliamentary Research Service, July 2015;</w:t>
      </w:r>
    </w:p>
    <w:p w14:paraId="1026FA05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Gender-responsive budgeting: Innovative approaches to budgeting, European Parliamentary Research Service, June 2015;</w:t>
      </w:r>
    </w:p>
    <w:p w14:paraId="42524F42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Counter-terrorism financing in the EU budget, European Parliamentary Research Service, June 2015;</w:t>
      </w:r>
    </w:p>
    <w:p w14:paraId="6AB76EB7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Financial accountability of Civil Society Organisations: improving cooperation with EU institutions, European Parliamentary Research Service, May 2015;</w:t>
      </w:r>
    </w:p>
    <w:p w14:paraId="1A1F5739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How the EU budget is spent: Consumer programme, European Parliamentary Research Service, April 2015;</w:t>
      </w:r>
    </w:p>
    <w:p w14:paraId="3F61D909" w14:textId="77777777" w:rsidR="00A56413" w:rsidRPr="00137557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137557">
        <w:rPr>
          <w:spacing w:val="-10"/>
          <w:sz w:val="22"/>
          <w:szCs w:val="22"/>
          <w:lang w:val="en"/>
        </w:rPr>
        <w:t>European Globalisation Adjustment Fund, European Parliamentary Research Service, March 2015;</w:t>
      </w:r>
    </w:p>
    <w:p w14:paraId="27CFF202" w14:textId="77777777" w:rsidR="00A56413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88132E">
        <w:rPr>
          <w:spacing w:val="-10"/>
          <w:sz w:val="22"/>
          <w:szCs w:val="22"/>
          <w:lang w:val="en"/>
        </w:rPr>
        <w:t>NGOs and money laundering: Adapting EU rules to engage NGOs better, European Parliamentary Research Service, March 2015;</w:t>
      </w:r>
    </w:p>
    <w:p w14:paraId="6F83F1FE" w14:textId="77777777" w:rsidR="00A56413" w:rsidRPr="0088132E" w:rsidRDefault="00A56413" w:rsidP="00A56413">
      <w:pPr>
        <w:numPr>
          <w:ilvl w:val="0"/>
          <w:numId w:val="7"/>
        </w:numPr>
        <w:ind w:left="284" w:hanging="284"/>
        <w:jc w:val="both"/>
        <w:rPr>
          <w:spacing w:val="-10"/>
          <w:sz w:val="22"/>
          <w:szCs w:val="22"/>
          <w:lang w:val="en"/>
        </w:rPr>
      </w:pPr>
      <w:r w:rsidRPr="0088132E">
        <w:rPr>
          <w:spacing w:val="-10"/>
          <w:sz w:val="22"/>
          <w:szCs w:val="22"/>
          <w:lang w:val="en"/>
        </w:rPr>
        <w:t>Addressing conflicts of interest in public-private partnerships (PPPs), European Parliamentary Research Service, January 2015</w:t>
      </w:r>
      <w:r>
        <w:rPr>
          <w:spacing w:val="-10"/>
          <w:sz w:val="22"/>
          <w:szCs w:val="22"/>
          <w:lang w:val="en"/>
        </w:rPr>
        <w:t>.</w:t>
      </w:r>
    </w:p>
    <w:p w14:paraId="33E7911D" w14:textId="77777777" w:rsidR="00A56413" w:rsidRDefault="00A56413" w:rsidP="00A56413">
      <w:pPr>
        <w:rPr>
          <w:color w:val="FF0000"/>
          <w:spacing w:val="-10"/>
          <w:lang w:val="en"/>
        </w:rPr>
      </w:pPr>
    </w:p>
    <w:p w14:paraId="55B6D87B" w14:textId="77777777" w:rsidR="00A56413" w:rsidRDefault="00A56413" w:rsidP="00A56413">
      <w:pPr>
        <w:rPr>
          <w:color w:val="FF0000"/>
          <w:spacing w:val="-10"/>
          <w:lang w:val="en"/>
        </w:rPr>
      </w:pPr>
    </w:p>
    <w:p w14:paraId="629BC371" w14:textId="77777777" w:rsidR="00A56413" w:rsidRPr="009D4BA9" w:rsidRDefault="00A56413" w:rsidP="00A56413">
      <w:pPr>
        <w:pStyle w:val="OiaeaeiYiio2"/>
        <w:widowControl/>
        <w:spacing w:before="20" w:after="20"/>
        <w:jc w:val="both"/>
        <w:rPr>
          <w:rStyle w:val="Enfasicorsivo"/>
          <w:b/>
          <w:color w:val="000000"/>
          <w:sz w:val="22"/>
          <w:szCs w:val="22"/>
          <w:u w:val="single"/>
          <w:lang w:val="en-GB"/>
        </w:rPr>
      </w:pPr>
      <w:r w:rsidRPr="009D4BA9">
        <w:rPr>
          <w:rStyle w:val="Enfasicorsivo"/>
          <w:b/>
          <w:color w:val="000000"/>
          <w:sz w:val="22"/>
          <w:szCs w:val="22"/>
          <w:u w:val="single"/>
          <w:lang w:val="en-GB"/>
        </w:rPr>
        <w:t>Briefings and Reports</w:t>
      </w:r>
      <w:r>
        <w:rPr>
          <w:rStyle w:val="Enfasicorsivo"/>
          <w:b/>
          <w:color w:val="000000"/>
          <w:sz w:val="22"/>
          <w:szCs w:val="22"/>
          <w:u w:val="single"/>
          <w:lang w:val="en-GB"/>
        </w:rPr>
        <w:t xml:space="preserve"> - Institute for competitiveness </w:t>
      </w:r>
    </w:p>
    <w:p w14:paraId="0CA5C150" w14:textId="77777777" w:rsidR="00A56413" w:rsidRPr="00D943E2" w:rsidRDefault="00A56413" w:rsidP="00A56413">
      <w:pPr>
        <w:rPr>
          <w:color w:val="FF0000"/>
          <w:spacing w:val="-10"/>
        </w:rPr>
      </w:pPr>
    </w:p>
    <w:p w14:paraId="4DF5C5D2" w14:textId="77777777" w:rsidR="00A56413" w:rsidRPr="00137557" w:rsidRDefault="00A56413" w:rsidP="00A56413">
      <w:pPr>
        <w:numPr>
          <w:ilvl w:val="0"/>
          <w:numId w:val="8"/>
        </w:numPr>
        <w:ind w:left="284" w:hanging="284"/>
        <w:jc w:val="both"/>
        <w:rPr>
          <w:i/>
          <w:sz w:val="22"/>
          <w:szCs w:val="22"/>
        </w:rPr>
      </w:pPr>
      <w:r w:rsidRPr="00137557">
        <w:rPr>
          <w:i/>
          <w:sz w:val="22"/>
          <w:szCs w:val="22"/>
        </w:rPr>
        <w:t xml:space="preserve">L’economia delle Regioni italiane e i rapporti tra amministrazioni territoriali e imprese </w:t>
      </w:r>
      <w:r w:rsidRPr="00FD6F0A">
        <w:rPr>
          <w:sz w:val="22"/>
          <w:szCs w:val="22"/>
        </w:rPr>
        <w:t xml:space="preserve">(with </w:t>
      </w:r>
      <w:r w:rsidRPr="00FD6F0A">
        <w:rPr>
          <w:iCs/>
          <w:smallCaps/>
          <w:sz w:val="22"/>
          <w:szCs w:val="22"/>
        </w:rPr>
        <w:t>S. Da Empoli, M.R. Della Porta, G. Massaro, E. Mazzoni, E. Rosa, G. Tedesco</w:t>
      </w:r>
      <w:r w:rsidRPr="00FD6F0A">
        <w:rPr>
          <w:sz w:val="22"/>
          <w:szCs w:val="22"/>
        </w:rPr>
        <w:t xml:space="preserve">), </w:t>
      </w:r>
      <w:r w:rsidRPr="00137557">
        <w:rPr>
          <w:sz w:val="22"/>
          <w:szCs w:val="22"/>
        </w:rPr>
        <w:t>Rome October 2016;</w:t>
      </w:r>
    </w:p>
    <w:p w14:paraId="68B2E620" w14:textId="77777777" w:rsidR="00A56413" w:rsidRPr="00137557" w:rsidRDefault="00A56413" w:rsidP="00A56413">
      <w:pPr>
        <w:numPr>
          <w:ilvl w:val="0"/>
          <w:numId w:val="8"/>
        </w:numPr>
        <w:ind w:left="284" w:hanging="284"/>
        <w:jc w:val="both"/>
        <w:rPr>
          <w:i/>
          <w:sz w:val="22"/>
          <w:szCs w:val="22"/>
        </w:rPr>
      </w:pPr>
      <w:r w:rsidRPr="00137557">
        <w:rPr>
          <w:i/>
          <w:sz w:val="22"/>
          <w:szCs w:val="22"/>
        </w:rPr>
        <w:t>Il sistema economico emiliano-romagnolo e i rapporti tra le amministrazioni del territorio e le imprese (</w:t>
      </w:r>
      <w:r w:rsidRPr="00FD6F0A">
        <w:rPr>
          <w:sz w:val="22"/>
          <w:szCs w:val="22"/>
        </w:rPr>
        <w:t xml:space="preserve">with </w:t>
      </w:r>
      <w:r w:rsidRPr="00FD6F0A">
        <w:rPr>
          <w:iCs/>
          <w:smallCaps/>
          <w:sz w:val="22"/>
          <w:szCs w:val="22"/>
        </w:rPr>
        <w:t>S. Da Empoli, M.R. Della Porta, G. Massaro, E. Mazzoni, E. Rosa, G. Tedesco</w:t>
      </w:r>
      <w:r w:rsidRPr="00FD6F0A">
        <w:rPr>
          <w:sz w:val="22"/>
          <w:szCs w:val="22"/>
        </w:rPr>
        <w:t>), Rome</w:t>
      </w:r>
      <w:r w:rsidRPr="00137557">
        <w:rPr>
          <w:sz w:val="22"/>
          <w:szCs w:val="22"/>
        </w:rPr>
        <w:t xml:space="preserve"> July 2016;</w:t>
      </w:r>
    </w:p>
    <w:p w14:paraId="3233357D" w14:textId="77777777" w:rsidR="00A56413" w:rsidRPr="00137557" w:rsidRDefault="00A56413" w:rsidP="00A56413">
      <w:pPr>
        <w:numPr>
          <w:ilvl w:val="0"/>
          <w:numId w:val="8"/>
        </w:numPr>
        <w:ind w:left="284" w:hanging="284"/>
        <w:jc w:val="both"/>
        <w:rPr>
          <w:i/>
          <w:sz w:val="22"/>
          <w:szCs w:val="22"/>
        </w:rPr>
      </w:pPr>
      <w:r w:rsidRPr="00137557">
        <w:rPr>
          <w:i/>
          <w:sz w:val="22"/>
          <w:szCs w:val="22"/>
        </w:rPr>
        <w:t xml:space="preserve">Il sistema economico pugliese e i rapporti tra le amministrazioni del territorio e le imprese </w:t>
      </w:r>
      <w:r w:rsidRPr="00FD6F0A">
        <w:rPr>
          <w:sz w:val="22"/>
          <w:szCs w:val="22"/>
        </w:rPr>
        <w:t xml:space="preserve">(with </w:t>
      </w:r>
      <w:r w:rsidRPr="00FD6F0A">
        <w:rPr>
          <w:iCs/>
          <w:smallCaps/>
          <w:sz w:val="22"/>
          <w:szCs w:val="22"/>
        </w:rPr>
        <w:t>S. Da Empoli, M.R. Della Porta, G. Massaro, E. Mazzoni, E. Rosa, G. Tedesco</w:t>
      </w:r>
      <w:r w:rsidRPr="00FD6F0A">
        <w:rPr>
          <w:sz w:val="22"/>
          <w:szCs w:val="22"/>
        </w:rPr>
        <w:t>), Rome</w:t>
      </w:r>
      <w:r w:rsidRPr="00137557">
        <w:rPr>
          <w:sz w:val="22"/>
          <w:szCs w:val="22"/>
        </w:rPr>
        <w:t xml:space="preserve"> May 2016;</w:t>
      </w:r>
    </w:p>
    <w:p w14:paraId="7197CA68" w14:textId="77777777" w:rsidR="00A56413" w:rsidRPr="00137557" w:rsidRDefault="00A56413" w:rsidP="00A56413">
      <w:pPr>
        <w:numPr>
          <w:ilvl w:val="0"/>
          <w:numId w:val="8"/>
        </w:numPr>
        <w:ind w:left="284" w:hanging="284"/>
        <w:jc w:val="both"/>
        <w:rPr>
          <w:i/>
          <w:sz w:val="22"/>
          <w:szCs w:val="22"/>
        </w:rPr>
      </w:pPr>
      <w:r w:rsidRPr="00137557">
        <w:rPr>
          <w:i/>
          <w:sz w:val="22"/>
          <w:szCs w:val="22"/>
        </w:rPr>
        <w:t xml:space="preserve">Il sistema economico toscano e i rapporti tra le amministrazioni del territorio e le imprese, </w:t>
      </w:r>
      <w:r w:rsidRPr="00FD6F0A">
        <w:rPr>
          <w:sz w:val="22"/>
          <w:szCs w:val="22"/>
        </w:rPr>
        <w:t xml:space="preserve">(with </w:t>
      </w:r>
      <w:r w:rsidRPr="00FD6F0A">
        <w:rPr>
          <w:iCs/>
          <w:smallCaps/>
          <w:sz w:val="22"/>
          <w:szCs w:val="22"/>
        </w:rPr>
        <w:t>S. Da Empoli, M.R. Della Porta, G. Massaro, E. Mazzoni, E. Rosa, G. Tedesco</w:t>
      </w:r>
      <w:r w:rsidRPr="00FD6F0A">
        <w:rPr>
          <w:sz w:val="22"/>
          <w:szCs w:val="22"/>
        </w:rPr>
        <w:t>),</w:t>
      </w:r>
      <w:r w:rsidRPr="00137557">
        <w:rPr>
          <w:i/>
          <w:sz w:val="22"/>
          <w:szCs w:val="22"/>
        </w:rPr>
        <w:t xml:space="preserve"> </w:t>
      </w:r>
      <w:r w:rsidRPr="00137557">
        <w:rPr>
          <w:sz w:val="22"/>
          <w:szCs w:val="22"/>
        </w:rPr>
        <w:t>Rome March 2016</w:t>
      </w:r>
      <w:r w:rsidRPr="00137557">
        <w:rPr>
          <w:i/>
          <w:sz w:val="22"/>
          <w:szCs w:val="22"/>
        </w:rPr>
        <w:t>;</w:t>
      </w:r>
    </w:p>
    <w:p w14:paraId="673CFB5A" w14:textId="77777777" w:rsidR="00A56413" w:rsidRDefault="00A56413" w:rsidP="00A56413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D4BA9">
        <w:rPr>
          <w:i/>
          <w:sz w:val="22"/>
          <w:szCs w:val="22"/>
        </w:rPr>
        <w:t>I nuovi percorsi delle relazioni tra comuni e imprese. Trasparenza e partecipazione, governo del territorio, città metropolitane</w:t>
      </w:r>
      <w:r>
        <w:rPr>
          <w:sz w:val="22"/>
          <w:szCs w:val="22"/>
        </w:rPr>
        <w:t xml:space="preserve"> (</w:t>
      </w:r>
      <w:r w:rsidRPr="00733639">
        <w:rPr>
          <w:sz w:val="22"/>
          <w:szCs w:val="22"/>
        </w:rPr>
        <w:t xml:space="preserve">with </w:t>
      </w:r>
      <w:r w:rsidRPr="00733639">
        <w:rPr>
          <w:smallCaps/>
          <w:spacing w:val="-10"/>
          <w:sz w:val="22"/>
          <w:szCs w:val="22"/>
        </w:rPr>
        <w:t>M. Allulli, S. Da Empoli, L. Ferraguto, R. Iacovino, L. Romani, P. Testa)</w:t>
      </w:r>
      <w:r>
        <w:rPr>
          <w:sz w:val="22"/>
          <w:szCs w:val="22"/>
        </w:rPr>
        <w:t>,</w:t>
      </w:r>
      <w:r w:rsidRPr="00733639">
        <w:rPr>
          <w:sz w:val="22"/>
          <w:szCs w:val="22"/>
        </w:rPr>
        <w:t xml:space="preserve"> </w:t>
      </w:r>
      <w:r w:rsidRPr="009D4BA9">
        <w:rPr>
          <w:sz w:val="22"/>
          <w:szCs w:val="22"/>
        </w:rPr>
        <w:t>Rome 2014;</w:t>
      </w:r>
    </w:p>
    <w:p w14:paraId="2983AA67" w14:textId="77777777" w:rsidR="00A56413" w:rsidRPr="0088132E" w:rsidRDefault="00A56413" w:rsidP="00A56413">
      <w:pPr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88132E">
        <w:rPr>
          <w:i/>
          <w:sz w:val="22"/>
          <w:szCs w:val="22"/>
        </w:rPr>
        <w:t xml:space="preserve">Il ritardo dei pagamenti della PA: una stima dei costi attuali (e dei potenziali risparmi futuri) per il sistema Italia </w:t>
      </w:r>
      <w:r w:rsidRPr="0088132E">
        <w:rPr>
          <w:sz w:val="22"/>
          <w:szCs w:val="22"/>
        </w:rPr>
        <w:t xml:space="preserve">(with </w:t>
      </w:r>
      <w:r w:rsidRPr="0088132E">
        <w:rPr>
          <w:smallCaps/>
          <w:spacing w:val="-10"/>
          <w:sz w:val="22"/>
          <w:szCs w:val="22"/>
        </w:rPr>
        <w:t xml:space="preserve">S. Da Empoli, S. Di Trocchio, D. Mare), </w:t>
      </w:r>
      <w:r w:rsidRPr="0088132E">
        <w:rPr>
          <w:sz w:val="22"/>
          <w:szCs w:val="22"/>
        </w:rPr>
        <w:t>Rome 2012</w:t>
      </w:r>
      <w:r>
        <w:rPr>
          <w:i/>
          <w:sz w:val="22"/>
          <w:szCs w:val="22"/>
        </w:rPr>
        <w:t>.</w:t>
      </w:r>
    </w:p>
    <w:p w14:paraId="3B2CEAD0" w14:textId="77777777" w:rsidR="00B3271E" w:rsidRDefault="00B3271E"/>
    <w:sectPr w:rsidR="00B3271E" w:rsidSect="00C223B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127"/>
    <w:multiLevelType w:val="hybridMultilevel"/>
    <w:tmpl w:val="BA421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670F1"/>
    <w:multiLevelType w:val="hybridMultilevel"/>
    <w:tmpl w:val="1CFA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2F3"/>
    <w:multiLevelType w:val="hybridMultilevel"/>
    <w:tmpl w:val="E16EB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AC7"/>
    <w:multiLevelType w:val="hybridMultilevel"/>
    <w:tmpl w:val="F83C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46B74"/>
    <w:multiLevelType w:val="hybridMultilevel"/>
    <w:tmpl w:val="45182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6729"/>
    <w:multiLevelType w:val="hybridMultilevel"/>
    <w:tmpl w:val="1D3247E6"/>
    <w:lvl w:ilvl="0" w:tplc="0410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66AAB"/>
    <w:multiLevelType w:val="hybridMultilevel"/>
    <w:tmpl w:val="D638D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B2C44"/>
    <w:multiLevelType w:val="hybridMultilevel"/>
    <w:tmpl w:val="E54AD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D2"/>
    <w:rsid w:val="00352FD2"/>
    <w:rsid w:val="00384F94"/>
    <w:rsid w:val="00A56413"/>
    <w:rsid w:val="00B3271E"/>
    <w:rsid w:val="00C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A703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413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A56413"/>
    <w:pPr>
      <w:keepNext/>
      <w:outlineLvl w:val="1"/>
    </w:pPr>
    <w:rPr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A56413"/>
    <w:rPr>
      <w:rFonts w:ascii="Times New Roman" w:eastAsia="Times New Roman" w:hAnsi="Times New Roman" w:cs="Times New Roman"/>
      <w:b/>
      <w:bCs/>
    </w:rPr>
  </w:style>
  <w:style w:type="character" w:styleId="Enfasigrassetto">
    <w:name w:val="Strong"/>
    <w:qFormat/>
    <w:rsid w:val="00A56413"/>
    <w:rPr>
      <w:b/>
      <w:bCs/>
    </w:rPr>
  </w:style>
  <w:style w:type="paragraph" w:customStyle="1" w:styleId="OiaeaeiYiio2">
    <w:name w:val="O?ia eaeiYiio 2"/>
    <w:basedOn w:val="Normale"/>
    <w:rsid w:val="00A56413"/>
    <w:pPr>
      <w:widowControl w:val="0"/>
      <w:jc w:val="right"/>
    </w:pPr>
    <w:rPr>
      <w:i/>
      <w:sz w:val="16"/>
      <w:szCs w:val="20"/>
      <w:lang w:val="en-US" w:eastAsia="en-US"/>
    </w:rPr>
  </w:style>
  <w:style w:type="character" w:styleId="Enfasicorsivo">
    <w:name w:val="Emphasis"/>
    <w:qFormat/>
    <w:rsid w:val="00A56413"/>
    <w:rPr>
      <w:i/>
      <w:iCs/>
    </w:rPr>
  </w:style>
  <w:style w:type="paragraph" w:styleId="Paragrafoelenco">
    <w:name w:val="List Paragraph"/>
    <w:basedOn w:val="Normale"/>
    <w:uiPriority w:val="34"/>
    <w:qFormat/>
    <w:rsid w:val="00A56413"/>
    <w:pPr>
      <w:ind w:left="720"/>
      <w:contextualSpacing/>
    </w:pPr>
    <w:rPr>
      <w:rFonts w:ascii="Calibri" w:eastAsia="ＭＳ 明朝" w:hAnsi="Calibr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6413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A56413"/>
    <w:pPr>
      <w:keepNext/>
      <w:outlineLvl w:val="1"/>
    </w:pPr>
    <w:rPr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rsid w:val="00A56413"/>
    <w:rPr>
      <w:rFonts w:ascii="Times New Roman" w:eastAsia="Times New Roman" w:hAnsi="Times New Roman" w:cs="Times New Roman"/>
      <w:b/>
      <w:bCs/>
    </w:rPr>
  </w:style>
  <w:style w:type="character" w:styleId="Enfasigrassetto">
    <w:name w:val="Strong"/>
    <w:qFormat/>
    <w:rsid w:val="00A56413"/>
    <w:rPr>
      <w:b/>
      <w:bCs/>
    </w:rPr>
  </w:style>
  <w:style w:type="paragraph" w:customStyle="1" w:styleId="OiaeaeiYiio2">
    <w:name w:val="O?ia eaeiYiio 2"/>
    <w:basedOn w:val="Normale"/>
    <w:rsid w:val="00A56413"/>
    <w:pPr>
      <w:widowControl w:val="0"/>
      <w:jc w:val="right"/>
    </w:pPr>
    <w:rPr>
      <w:i/>
      <w:sz w:val="16"/>
      <w:szCs w:val="20"/>
      <w:lang w:val="en-US" w:eastAsia="en-US"/>
    </w:rPr>
  </w:style>
  <w:style w:type="character" w:styleId="Enfasicorsivo">
    <w:name w:val="Emphasis"/>
    <w:qFormat/>
    <w:rsid w:val="00A56413"/>
    <w:rPr>
      <w:i/>
      <w:iCs/>
    </w:rPr>
  </w:style>
  <w:style w:type="paragraph" w:styleId="Paragrafoelenco">
    <w:name w:val="List Paragraph"/>
    <w:basedOn w:val="Normale"/>
    <w:uiPriority w:val="34"/>
    <w:qFormat/>
    <w:rsid w:val="00A56413"/>
    <w:pPr>
      <w:ind w:left="720"/>
      <w:contextualSpacing/>
    </w:pPr>
    <w:rPr>
      <w:rFonts w:ascii="Calibri" w:eastAsia="ＭＳ 明朝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2303</Words>
  <Characters>13129</Characters>
  <Application>Microsoft Macintosh Word</Application>
  <DocSecurity>0</DocSecurity>
  <Lines>109</Lines>
  <Paragraphs>30</Paragraphs>
  <ScaleCrop>false</ScaleCrop>
  <Company/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2019-05-02T09:55:00Z</dcterms:created>
  <dcterms:modified xsi:type="dcterms:W3CDTF">2019-05-02T09:57:00Z</dcterms:modified>
</cp:coreProperties>
</file>