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334" w:rsidRPr="00C83DB1" w:rsidRDefault="00C83DB1" w:rsidP="00C83DB1">
      <w:pPr>
        <w:jc w:val="center"/>
        <w:rPr>
          <w:b/>
          <w:sz w:val="24"/>
        </w:rPr>
      </w:pPr>
      <w:r w:rsidRPr="00C83DB1">
        <w:rPr>
          <w:b/>
          <w:sz w:val="24"/>
        </w:rPr>
        <w:t>Siriana Salvi</w:t>
      </w:r>
    </w:p>
    <w:p w:rsidR="00C83DB1" w:rsidRDefault="00C83DB1" w:rsidP="00C83DB1">
      <w:pPr>
        <w:jc w:val="center"/>
        <w:rPr>
          <w:b/>
          <w:sz w:val="24"/>
        </w:rPr>
      </w:pPr>
    </w:p>
    <w:p w:rsidR="00C83DB1" w:rsidRPr="00C83DB1" w:rsidRDefault="00C83DB1" w:rsidP="00C83DB1">
      <w:pPr>
        <w:jc w:val="center"/>
        <w:rPr>
          <w:b/>
          <w:sz w:val="24"/>
        </w:rPr>
      </w:pPr>
      <w:r w:rsidRPr="00C83DB1">
        <w:rPr>
          <w:b/>
          <w:sz w:val="24"/>
        </w:rPr>
        <w:t>Elenco delle pubblicazioni</w:t>
      </w:r>
    </w:p>
    <w:p w:rsidR="00C83DB1" w:rsidRDefault="00C83DB1">
      <w:pPr>
        <w:rPr>
          <w:b/>
        </w:rPr>
      </w:pPr>
    </w:p>
    <w:p w:rsidR="00C83DB1" w:rsidRDefault="00C83DB1">
      <w:pPr>
        <w:rPr>
          <w:b/>
        </w:rPr>
      </w:pPr>
    </w:p>
    <w:p w:rsidR="00C83DB1" w:rsidRDefault="00C83DB1">
      <w:pPr>
        <w:rPr>
          <w:b/>
        </w:rPr>
      </w:pPr>
    </w:p>
    <w:p w:rsidR="00C83DB1" w:rsidRDefault="00C83DB1">
      <w:pPr>
        <w:rPr>
          <w:b/>
        </w:rPr>
      </w:pPr>
    </w:p>
    <w:p w:rsidR="00C83DB1" w:rsidRDefault="00C83DB1">
      <w:pPr>
        <w:rPr>
          <w:b/>
        </w:rPr>
      </w:pPr>
    </w:p>
    <w:p w:rsidR="00C83DB1" w:rsidRPr="00C83DB1" w:rsidRDefault="00C83DB1" w:rsidP="00C83DB1">
      <w:pPr>
        <w:jc w:val="both"/>
        <w:rPr>
          <w:b/>
        </w:rPr>
      </w:pPr>
      <w:r w:rsidRPr="00C83DB1">
        <w:rPr>
          <w:b/>
        </w:rPr>
        <w:t>Pubblicazioni a stampa</w:t>
      </w:r>
    </w:p>
    <w:p w:rsidR="00C83DB1" w:rsidRDefault="00C83DB1" w:rsidP="00957F09">
      <w:pPr>
        <w:spacing w:before="240"/>
        <w:ind w:left="113" w:right="113"/>
        <w:jc w:val="both"/>
      </w:pPr>
      <w:r>
        <w:t xml:space="preserve">“La valutazione delle opzioni di intervento nell’Air”, in “L’analisi d’impatto della regolazione – Il caso delle Autorità indipendenti”, a cura di A. Natalini, F. Sarpi e G. Vesperini, </w:t>
      </w:r>
      <w:proofErr w:type="spellStart"/>
      <w:r>
        <w:t>Carocci</w:t>
      </w:r>
      <w:proofErr w:type="spellEnd"/>
      <w:r>
        <w:t xml:space="preserve"> editore, Roma, dicembre 2012  [ISBN: 978-88-430-6843-2].</w:t>
      </w:r>
    </w:p>
    <w:p w:rsidR="00C83DB1" w:rsidRPr="00067063" w:rsidRDefault="00C83DB1" w:rsidP="00C83DB1">
      <w:pPr>
        <w:spacing w:before="240"/>
        <w:ind w:left="113" w:right="113"/>
        <w:jc w:val="both"/>
      </w:pPr>
      <w:r w:rsidRPr="004D5FE5">
        <w:t>“La qualità della regolazione in Italia tra buone intenzioni e modesti risultati: un confronto internazionale”</w:t>
      </w:r>
      <w:r>
        <w:t>,</w:t>
      </w:r>
      <w:r w:rsidRPr="004D5FE5">
        <w:t xml:space="preserve"> in “</w:t>
      </w:r>
      <w:r w:rsidRPr="004D5FE5">
        <w:rPr>
          <w:iCs/>
        </w:rPr>
        <w:t xml:space="preserve">La tela di Penelope. Primo Rapporto </w:t>
      </w:r>
      <w:proofErr w:type="spellStart"/>
      <w:r w:rsidRPr="004D5FE5">
        <w:rPr>
          <w:iCs/>
        </w:rPr>
        <w:t>Astrid</w:t>
      </w:r>
      <w:proofErr w:type="spellEnd"/>
      <w:r w:rsidRPr="004D5FE5">
        <w:rPr>
          <w:iCs/>
        </w:rPr>
        <w:t xml:space="preserve"> sulla semplificazione legislativa e burocratica</w:t>
      </w:r>
      <w:r w:rsidRPr="004D5FE5">
        <w:t xml:space="preserve">”, </w:t>
      </w:r>
      <w:r>
        <w:t xml:space="preserve">a cura di </w:t>
      </w:r>
      <w:r w:rsidRPr="00E044C3">
        <w:t>A. Natalini</w:t>
      </w:r>
      <w:r>
        <w:t xml:space="preserve"> e</w:t>
      </w:r>
      <w:r w:rsidRPr="00E044C3">
        <w:t xml:space="preserve"> G. Tiberi</w:t>
      </w:r>
      <w:r>
        <w:t xml:space="preserve">, </w:t>
      </w:r>
      <w:r w:rsidRPr="004D5FE5">
        <w:t>il Mulino, Bologna, luglio 2010</w:t>
      </w:r>
      <w:r w:rsidRPr="000240E7">
        <w:t xml:space="preserve"> [ISBN: 978-88-15-13739-5].</w:t>
      </w:r>
    </w:p>
    <w:p w:rsidR="00C83DB1" w:rsidRPr="00067063" w:rsidRDefault="00C83DB1" w:rsidP="00C83DB1">
      <w:pPr>
        <w:spacing w:before="240"/>
        <w:ind w:left="113" w:right="113"/>
        <w:jc w:val="both"/>
        <w:rPr>
          <w:iCs/>
        </w:rPr>
      </w:pPr>
      <w:r w:rsidRPr="00335FA4">
        <w:t>C</w:t>
      </w:r>
      <w:r w:rsidRPr="00335FA4">
        <w:rPr>
          <w:iCs/>
        </w:rPr>
        <w:t xml:space="preserve">on A. Natalini e F. </w:t>
      </w:r>
      <w:r w:rsidRPr="000240E7">
        <w:rPr>
          <w:iCs/>
        </w:rPr>
        <w:t>Sarpi, “Il sistema amministrativo in numeri: una lente offuscata” (cap. XII, par.4 ) e “Appendice statistica”</w:t>
      </w:r>
      <w:r>
        <w:rPr>
          <w:iCs/>
        </w:rPr>
        <w:t>,</w:t>
      </w:r>
      <w:r>
        <w:rPr>
          <w:iCs/>
          <w:vanish/>
        </w:rPr>
        <w:t>ir"alutazione delle opzioni di intervento nel'</w:t>
      </w:r>
      <w:r>
        <w:rPr>
          <w:iCs/>
          <w:vanish/>
        </w:rPr>
        <w:pgNum/>
      </w:r>
      <w:r>
        <w:rPr>
          <w:iCs/>
          <w:vanish/>
        </w:rPr>
        <w:pgNum/>
      </w:r>
      <w:r>
        <w:rPr>
          <w:iCs/>
          <w:vanish/>
        </w:rPr>
        <w:pgNum/>
      </w:r>
      <w:r>
        <w:rPr>
          <w:iCs/>
          <w:vanish/>
        </w:rPr>
        <w:pgNum/>
      </w:r>
      <w:r>
        <w:rPr>
          <w:iCs/>
          <w:vanish/>
        </w:rPr>
        <w:pgNum/>
      </w:r>
      <w:r>
        <w:rPr>
          <w:iCs/>
          <w:vanish/>
        </w:rPr>
        <w:pgNum/>
      </w:r>
      <w:r>
        <w:rPr>
          <w:iCs/>
          <w:vanish/>
        </w:rPr>
        <w:pgNum/>
      </w:r>
      <w:r>
        <w:rPr>
          <w:iCs/>
          <w:vanish/>
        </w:rPr>
        <w:pgNum/>
      </w:r>
      <w:r>
        <w:rPr>
          <w:iCs/>
          <w:vanish/>
        </w:rPr>
        <w:pgNum/>
      </w:r>
      <w:r>
        <w:rPr>
          <w:iCs/>
          <w:vanish/>
        </w:rPr>
        <w:pgNum/>
      </w:r>
      <w:r>
        <w:rPr>
          <w:iCs/>
          <w:vanish/>
        </w:rPr>
        <w:pgNum/>
      </w:r>
      <w:r>
        <w:rPr>
          <w:iCs/>
          <w:vanish/>
        </w:rPr>
        <w:pgNum/>
      </w:r>
      <w:r>
        <w:rPr>
          <w:iCs/>
          <w:vanish/>
        </w:rPr>
        <w:pgNum/>
      </w:r>
      <w:r>
        <w:rPr>
          <w:iCs/>
          <w:vanish/>
        </w:rPr>
        <w:pgNum/>
      </w:r>
      <w:r>
        <w:rPr>
          <w:iCs/>
          <w:vanish/>
        </w:rPr>
        <w:pgNum/>
      </w:r>
      <w:r>
        <w:rPr>
          <w:iCs/>
          <w:vanish/>
        </w:rPr>
        <w:pgNum/>
      </w:r>
      <w:r>
        <w:rPr>
          <w:iCs/>
          <w:vanish/>
        </w:rPr>
        <w:pgNum/>
      </w:r>
      <w:r>
        <w:rPr>
          <w:iCs/>
          <w:vanish/>
        </w:rPr>
        <w:pgNum/>
      </w:r>
      <w:r>
        <w:rPr>
          <w:iCs/>
          <w:vanish/>
        </w:rPr>
        <w:pgNum/>
      </w:r>
      <w:r>
        <w:rPr>
          <w:iCs/>
          <w:vanish/>
        </w:rPr>
        <w:pgNum/>
      </w:r>
      <w:r>
        <w:rPr>
          <w:iCs/>
          <w:vanish/>
        </w:rPr>
        <w:pgNum/>
      </w:r>
      <w:r>
        <w:rPr>
          <w:iCs/>
          <w:vanish/>
        </w:rPr>
        <w:pgNum/>
      </w:r>
      <w:r>
        <w:rPr>
          <w:iCs/>
          <w:vanish/>
        </w:rPr>
        <w:pgNum/>
      </w:r>
      <w:r>
        <w:rPr>
          <w:iCs/>
          <w:vanish/>
        </w:rPr>
        <w:pgNum/>
      </w:r>
      <w:r>
        <w:rPr>
          <w:iCs/>
          <w:vanish/>
        </w:rPr>
        <w:pgNum/>
      </w:r>
      <w:r>
        <w:rPr>
          <w:iCs/>
          <w:vanish/>
        </w:rPr>
        <w:pgNum/>
      </w:r>
      <w:r>
        <w:rPr>
          <w:iCs/>
          <w:vanish/>
        </w:rPr>
        <w:pgNum/>
      </w:r>
      <w:r>
        <w:rPr>
          <w:iCs/>
          <w:vanish/>
        </w:rPr>
        <w:pgNum/>
      </w:r>
      <w:r>
        <w:rPr>
          <w:iCs/>
          <w:vanish/>
        </w:rPr>
        <w:pgNum/>
      </w:r>
      <w:r>
        <w:rPr>
          <w:iCs/>
          <w:vanish/>
        </w:rPr>
        <w:pgNum/>
      </w:r>
      <w:r>
        <w:rPr>
          <w:iCs/>
          <w:vanish/>
        </w:rPr>
        <w:pgNum/>
      </w:r>
      <w:r>
        <w:rPr>
          <w:iCs/>
          <w:vanish/>
        </w:rPr>
        <w:pgNum/>
      </w:r>
      <w:r>
        <w:rPr>
          <w:iCs/>
          <w:vanish/>
        </w:rPr>
        <w:pgNum/>
      </w:r>
      <w:r>
        <w:rPr>
          <w:iCs/>
          <w:vanish/>
        </w:rPr>
        <w:pgNum/>
      </w:r>
      <w:r>
        <w:rPr>
          <w:iCs/>
          <w:vanish/>
        </w:rPr>
        <w:pgNum/>
      </w:r>
      <w:r>
        <w:rPr>
          <w:iCs/>
          <w:vanish/>
        </w:rPr>
        <w:pgNum/>
      </w:r>
      <w:r>
        <w:rPr>
          <w:iCs/>
          <w:vanish/>
        </w:rPr>
        <w:pgNum/>
      </w:r>
      <w:r>
        <w:rPr>
          <w:iCs/>
          <w:vanish/>
        </w:rPr>
        <w:pgNum/>
      </w:r>
      <w:r>
        <w:rPr>
          <w:iCs/>
          <w:vanish/>
        </w:rPr>
        <w:pgNum/>
      </w:r>
      <w:r>
        <w:rPr>
          <w:iCs/>
          <w:vanish/>
        </w:rPr>
        <w:pgNum/>
      </w:r>
      <w:r>
        <w:rPr>
          <w:iCs/>
          <w:vanish/>
        </w:rPr>
        <w:pgNum/>
      </w:r>
      <w:r>
        <w:rPr>
          <w:iCs/>
          <w:vanish/>
        </w:rPr>
        <w:pgNum/>
      </w:r>
      <w:r>
        <w:rPr>
          <w:iCs/>
          <w:vanish/>
        </w:rPr>
        <w:pgNum/>
      </w:r>
      <w:r>
        <w:rPr>
          <w:iCs/>
          <w:vanish/>
        </w:rPr>
        <w:pgNum/>
      </w:r>
      <w:r>
        <w:rPr>
          <w:iCs/>
          <w:vanish/>
        </w:rPr>
        <w:pgNum/>
      </w:r>
      <w:r>
        <w:rPr>
          <w:iCs/>
          <w:vanish/>
        </w:rPr>
        <w:pgNum/>
      </w:r>
      <w:r>
        <w:rPr>
          <w:iCs/>
          <w:vanish/>
        </w:rPr>
        <w:pgNum/>
      </w:r>
      <w:r>
        <w:rPr>
          <w:iCs/>
          <w:vanish/>
        </w:rPr>
        <w:pgNum/>
      </w:r>
      <w:r>
        <w:rPr>
          <w:iCs/>
          <w:vanish/>
        </w:rPr>
        <w:pgNum/>
      </w:r>
      <w:r>
        <w:rPr>
          <w:iCs/>
          <w:vanish/>
        </w:rPr>
        <w:pgNum/>
      </w:r>
      <w:r>
        <w:rPr>
          <w:iCs/>
          <w:vanish/>
        </w:rPr>
        <w:pgNum/>
      </w:r>
      <w:r>
        <w:rPr>
          <w:iCs/>
          <w:vanish/>
        </w:rPr>
        <w:pgNum/>
      </w:r>
      <w:r>
        <w:rPr>
          <w:iCs/>
          <w:vanish/>
        </w:rPr>
        <w:pgNum/>
      </w:r>
      <w:r>
        <w:rPr>
          <w:iCs/>
          <w:vanish/>
        </w:rPr>
        <w:pgNum/>
      </w:r>
      <w:r>
        <w:rPr>
          <w:iCs/>
          <w:vanish/>
        </w:rPr>
        <w:pgNum/>
      </w:r>
      <w:r>
        <w:rPr>
          <w:iCs/>
          <w:vanish/>
        </w:rPr>
        <w:pgNum/>
      </w:r>
      <w:r>
        <w:rPr>
          <w:iCs/>
          <w:vanish/>
        </w:rPr>
        <w:pgNum/>
      </w:r>
      <w:r>
        <w:rPr>
          <w:iCs/>
          <w:vanish/>
        </w:rPr>
        <w:pgNum/>
      </w:r>
      <w:r>
        <w:rPr>
          <w:iCs/>
          <w:vanish/>
        </w:rPr>
        <w:pgNum/>
      </w:r>
      <w:r>
        <w:rPr>
          <w:iCs/>
          <w:vanish/>
        </w:rPr>
        <w:pgNum/>
      </w:r>
      <w:r>
        <w:rPr>
          <w:iCs/>
          <w:vanish/>
        </w:rPr>
        <w:pgNum/>
      </w:r>
      <w:r>
        <w:rPr>
          <w:iCs/>
          <w:vanish/>
        </w:rPr>
        <w:pgNum/>
      </w:r>
      <w:r>
        <w:rPr>
          <w:iCs/>
          <w:vanish/>
        </w:rPr>
        <w:pgNum/>
      </w:r>
      <w:r>
        <w:rPr>
          <w:iCs/>
          <w:vanish/>
        </w:rPr>
        <w:pgNum/>
      </w:r>
      <w:r>
        <w:rPr>
          <w:iCs/>
          <w:vanish/>
        </w:rPr>
        <w:pgNum/>
      </w:r>
      <w:r>
        <w:rPr>
          <w:iCs/>
          <w:vanish/>
        </w:rPr>
        <w:pgNum/>
      </w:r>
      <w:r>
        <w:rPr>
          <w:iCs/>
          <w:vanish/>
        </w:rPr>
        <w:pgNum/>
      </w:r>
      <w:r>
        <w:rPr>
          <w:iCs/>
          <w:vanish/>
        </w:rPr>
        <w:pgNum/>
      </w:r>
      <w:r>
        <w:rPr>
          <w:iCs/>
          <w:vanish/>
        </w:rPr>
        <w:pgNum/>
      </w:r>
      <w:r>
        <w:rPr>
          <w:iCs/>
          <w:vanish/>
        </w:rPr>
        <w:pgNum/>
      </w:r>
      <w:r>
        <w:rPr>
          <w:iCs/>
          <w:vanish/>
        </w:rPr>
        <w:pgNum/>
      </w:r>
      <w:r>
        <w:rPr>
          <w:iCs/>
          <w:vanish/>
        </w:rPr>
        <w:pgNum/>
      </w:r>
      <w:r>
        <w:rPr>
          <w:iCs/>
          <w:vanish/>
        </w:rPr>
        <w:pgNum/>
      </w:r>
      <w:r>
        <w:rPr>
          <w:iCs/>
          <w:vanish/>
        </w:rPr>
        <w:pgNum/>
      </w:r>
      <w:r>
        <w:rPr>
          <w:iCs/>
          <w:vanish/>
        </w:rPr>
        <w:pgNum/>
      </w:r>
      <w:r>
        <w:rPr>
          <w:iCs/>
          <w:vanish/>
        </w:rPr>
        <w:pgNum/>
      </w:r>
      <w:r>
        <w:rPr>
          <w:iCs/>
          <w:vanish/>
        </w:rPr>
        <w:pgNum/>
      </w:r>
      <w:r>
        <w:rPr>
          <w:iCs/>
          <w:vanish/>
        </w:rPr>
        <w:pgNum/>
      </w:r>
      <w:r>
        <w:rPr>
          <w:iCs/>
          <w:vanish/>
        </w:rPr>
        <w:pgNum/>
      </w:r>
      <w:r>
        <w:rPr>
          <w:iCs/>
          <w:vanish/>
        </w:rPr>
        <w:pgNum/>
      </w:r>
      <w:r>
        <w:rPr>
          <w:iCs/>
          <w:vanish/>
        </w:rPr>
        <w:pgNum/>
      </w:r>
      <w:r w:rsidRPr="000240E7">
        <w:rPr>
          <w:iCs/>
        </w:rPr>
        <w:t xml:space="preserve"> </w:t>
      </w:r>
      <w:r w:rsidRPr="00335FA4">
        <w:rPr>
          <w:iCs/>
        </w:rPr>
        <w:t>i</w:t>
      </w:r>
      <w:r w:rsidRPr="00335FA4">
        <w:t>n “Il sistema amministrativo italiano nel XXI secolo”</w:t>
      </w:r>
      <w:r w:rsidRPr="00335FA4">
        <w:rPr>
          <w:i/>
        </w:rPr>
        <w:t xml:space="preserve">, </w:t>
      </w:r>
      <w:r w:rsidRPr="00335FA4">
        <w:t>a cura di L. Torchia</w:t>
      </w:r>
      <w:r w:rsidRPr="00335FA4">
        <w:rPr>
          <w:i/>
        </w:rPr>
        <w:t xml:space="preserve">, </w:t>
      </w:r>
      <w:r w:rsidRPr="00335FA4">
        <w:t>il Mulino, Bologna, maggio 2009</w:t>
      </w:r>
      <w:r>
        <w:t xml:space="preserve"> </w:t>
      </w:r>
      <w:r w:rsidRPr="000240E7">
        <w:t>[ISBN: 978-88-15-13232-1]</w:t>
      </w:r>
      <w:r w:rsidRPr="00335FA4">
        <w:t>.</w:t>
      </w:r>
      <w:r w:rsidRPr="00067063">
        <w:rPr>
          <w:iCs/>
        </w:rPr>
        <w:t xml:space="preserve"> </w:t>
      </w:r>
    </w:p>
    <w:p w:rsidR="00C83DB1" w:rsidRPr="00067063" w:rsidRDefault="00C83DB1" w:rsidP="00C83DB1">
      <w:pPr>
        <w:spacing w:before="240"/>
        <w:ind w:left="113" w:right="113"/>
        <w:jc w:val="both"/>
        <w:rPr>
          <w:color w:val="FF0000"/>
        </w:rPr>
      </w:pPr>
      <w:r w:rsidRPr="00067063">
        <w:t>Con A. Zuliani e M. Salvatore</w:t>
      </w:r>
      <w:r>
        <w:t>,</w:t>
      </w:r>
      <w:r w:rsidRPr="00067063">
        <w:t xml:space="preserve"> “</w:t>
      </w:r>
      <w:r>
        <w:t>La m</w:t>
      </w:r>
      <w:r w:rsidRPr="00067063">
        <w:t xml:space="preserve">isurazione amministrativa in un contesto internazionale”, in Formez, “Innovazione amministrativa e crescita – Ricerca </w:t>
      </w:r>
      <w:proofErr w:type="spellStart"/>
      <w:r w:rsidRPr="00067063">
        <w:t>Giannini-Formez</w:t>
      </w:r>
      <w:proofErr w:type="spellEnd"/>
      <w:r w:rsidRPr="00067063">
        <w:t xml:space="preserve">, II fase”, Vol. V - “Misurazione amministrativa”, Arti Grafiche Licenziato, Napoli, </w:t>
      </w:r>
      <w:r>
        <w:t xml:space="preserve">aprile </w:t>
      </w:r>
      <w:r w:rsidRPr="00067063">
        <w:t>2008.</w:t>
      </w:r>
      <w:r w:rsidRPr="00067063">
        <w:rPr>
          <w:color w:val="FF0000"/>
        </w:rPr>
        <w:t xml:space="preserve"> </w:t>
      </w:r>
    </w:p>
    <w:p w:rsidR="00C83DB1" w:rsidRPr="00067063" w:rsidRDefault="00C83DB1" w:rsidP="00C83DB1">
      <w:pPr>
        <w:spacing w:before="240"/>
        <w:ind w:left="113" w:right="113"/>
        <w:jc w:val="both"/>
      </w:pPr>
      <w:r w:rsidRPr="00067063">
        <w:t xml:space="preserve">Con A. Zuliani, “Competizione internazionale e pubbliche amministrazioni italiane”, in Formez, “Note e commenti sul sistema amministrativo italiano nel contesto internazionale 2006 – Competizione e concorrenza” Vol. II, Formez - Ufficio Stampa ed Editoria, </w:t>
      </w:r>
      <w:r>
        <w:t xml:space="preserve">dicembre 2006 </w:t>
      </w:r>
      <w:r w:rsidRPr="000240E7">
        <w:t>[ISSN 1594-3658]</w:t>
      </w:r>
      <w:r>
        <w:t>.</w:t>
      </w:r>
      <w:r w:rsidRPr="00067063">
        <w:rPr>
          <w:color w:val="FF0000"/>
        </w:rPr>
        <w:t xml:space="preserve"> </w:t>
      </w:r>
    </w:p>
    <w:p w:rsidR="00C83DB1" w:rsidRPr="00067063" w:rsidRDefault="00C83DB1" w:rsidP="00C83DB1">
      <w:pPr>
        <w:spacing w:before="240"/>
        <w:ind w:left="113" w:right="113"/>
        <w:jc w:val="both"/>
      </w:pPr>
      <w:r w:rsidRPr="00067063">
        <w:t xml:space="preserve">Con A. Natalini, “Dalla </w:t>
      </w:r>
      <w:proofErr w:type="spellStart"/>
      <w:r w:rsidRPr="00067063">
        <w:t>Rupa</w:t>
      </w:r>
      <w:proofErr w:type="spellEnd"/>
      <w:r w:rsidRPr="00067063">
        <w:t xml:space="preserve"> al sistema pubblico di connettività”, in Quaderni del Giornale di diritto amministrativo, diretti da Sabino </w:t>
      </w:r>
      <w:proofErr w:type="spellStart"/>
      <w:r w:rsidRPr="00067063">
        <w:t>Cassese</w:t>
      </w:r>
      <w:proofErr w:type="spellEnd"/>
      <w:r w:rsidRPr="00067063">
        <w:t>, numero 13: “I mercati dell’amministrazione - Le nuove procedure per l’acquisto di beni e di servizi” a cura di Giacinto della Cananea, Ipsoa, Milano</w:t>
      </w:r>
      <w:r>
        <w:t xml:space="preserve">, marzo 2006 </w:t>
      </w:r>
      <w:r w:rsidRPr="000240E7">
        <w:t>[ISBN: 88-217-2291-0]</w:t>
      </w:r>
      <w:r w:rsidRPr="00067063">
        <w:t>.</w:t>
      </w:r>
    </w:p>
    <w:p w:rsidR="00C83DB1" w:rsidRPr="000240E7" w:rsidRDefault="00C83DB1" w:rsidP="00C83DB1">
      <w:pPr>
        <w:spacing w:before="240"/>
        <w:ind w:left="113" w:right="113"/>
        <w:jc w:val="both"/>
      </w:pPr>
      <w:r w:rsidRPr="00E044C3">
        <w:t>Appendice statistica a: A. Natalini “Il tempo delle riforme amministrative”, Il Mulino, Bologna, settembre 2006</w:t>
      </w:r>
      <w:r>
        <w:t xml:space="preserve"> </w:t>
      </w:r>
      <w:r w:rsidRPr="000240E7">
        <w:t>[ISBN: 88-15-11399-1]</w:t>
      </w:r>
      <w:r>
        <w:t>.</w:t>
      </w:r>
    </w:p>
    <w:p w:rsidR="00C83DB1" w:rsidRPr="00067063" w:rsidRDefault="00C83DB1" w:rsidP="00C83DB1">
      <w:pPr>
        <w:spacing w:before="240"/>
        <w:ind w:left="113" w:right="113"/>
        <w:jc w:val="both"/>
      </w:pPr>
      <w:r>
        <w:t xml:space="preserve">Con R. Finocchi </w:t>
      </w:r>
      <w:proofErr w:type="spellStart"/>
      <w:r>
        <w:t>Ghersi</w:t>
      </w:r>
      <w:proofErr w:type="spellEnd"/>
      <w:r>
        <w:t xml:space="preserve"> e G. Guagnano,</w:t>
      </w:r>
      <w:r w:rsidRPr="00067063">
        <w:t xml:space="preserve"> “Sistemi giudiziari e statistiche in Europa”, collana “Quaderni del Consorzio </w:t>
      </w:r>
      <w:proofErr w:type="spellStart"/>
      <w:r w:rsidRPr="00067063">
        <w:t>Mipa</w:t>
      </w:r>
      <w:proofErr w:type="spellEnd"/>
      <w:r w:rsidRPr="00067063">
        <w:t xml:space="preserve">” edita dall’Istat, </w:t>
      </w:r>
      <w:r>
        <w:t xml:space="preserve">giugno </w:t>
      </w:r>
      <w:r w:rsidRPr="00067063">
        <w:t>2004</w:t>
      </w:r>
      <w:r>
        <w:t xml:space="preserve"> </w:t>
      </w:r>
      <w:r w:rsidRPr="000240E7">
        <w:t>[ISBN: 88-458-0854-8]</w:t>
      </w:r>
      <w:r w:rsidRPr="00067063">
        <w:t>.</w:t>
      </w:r>
    </w:p>
    <w:p w:rsidR="00C83DB1" w:rsidRDefault="00C83DB1" w:rsidP="00C83DB1">
      <w:pPr>
        <w:spacing w:before="240"/>
        <w:ind w:left="113" w:right="113"/>
        <w:jc w:val="both"/>
      </w:pPr>
      <w:r w:rsidRPr="00067063">
        <w:t xml:space="preserve">Con A. Natalini, appendice statistica al “Trattato di diritto amministrativo” a cura di S. </w:t>
      </w:r>
      <w:proofErr w:type="spellStart"/>
      <w:r w:rsidRPr="00067063">
        <w:t>Cassese</w:t>
      </w:r>
      <w:proofErr w:type="spellEnd"/>
      <w:r w:rsidRPr="00067063">
        <w:t xml:space="preserve">, </w:t>
      </w:r>
      <w:proofErr w:type="spellStart"/>
      <w:r w:rsidRPr="00067063">
        <w:t>Giuffrè</w:t>
      </w:r>
      <w:proofErr w:type="spellEnd"/>
      <w:r w:rsidRPr="00067063">
        <w:t xml:space="preserve"> editore, 2003</w:t>
      </w:r>
      <w:r>
        <w:t xml:space="preserve"> </w:t>
      </w:r>
      <w:r w:rsidRPr="000240E7">
        <w:t>[ISBN: 88-14-10387-9]</w:t>
      </w:r>
      <w:r w:rsidRPr="00067063">
        <w:t>.</w:t>
      </w:r>
    </w:p>
    <w:p w:rsidR="00C83DB1" w:rsidRDefault="00C83DB1" w:rsidP="00C83DB1">
      <w:pPr>
        <w:jc w:val="both"/>
        <w:rPr>
          <w:b/>
        </w:rPr>
      </w:pPr>
    </w:p>
    <w:p w:rsidR="00C83DB1" w:rsidRPr="00C83DB1" w:rsidRDefault="00C83DB1" w:rsidP="00C83DB1">
      <w:pPr>
        <w:jc w:val="both"/>
        <w:rPr>
          <w:b/>
        </w:rPr>
      </w:pPr>
      <w:r w:rsidRPr="00C83DB1">
        <w:rPr>
          <w:b/>
        </w:rPr>
        <w:t>Riviste scientifiche</w:t>
      </w:r>
    </w:p>
    <w:p w:rsidR="00957F09" w:rsidRDefault="00957F09" w:rsidP="00957F09">
      <w:pPr>
        <w:spacing w:before="240"/>
        <w:ind w:left="113" w:right="113"/>
      </w:pPr>
      <w:r w:rsidRPr="002A0527">
        <w:rPr>
          <w:bCs/>
          <w:iCs/>
        </w:rPr>
        <w:t>“</w:t>
      </w:r>
      <w:r w:rsidRPr="001B20AA">
        <w:rPr>
          <w:bCs/>
          <w:iCs/>
        </w:rPr>
        <w:t>La misurazione e la riduzione degli oneri burocratici: il nuovo programma</w:t>
      </w:r>
      <w:r w:rsidRPr="002A0527">
        <w:rPr>
          <w:bCs/>
          <w:iCs/>
        </w:rPr>
        <w:t>”</w:t>
      </w:r>
      <w:r>
        <w:rPr>
          <w:bCs/>
          <w:iCs/>
        </w:rPr>
        <w:t>,</w:t>
      </w:r>
      <w:r w:rsidRPr="002A0527">
        <w:rPr>
          <w:bCs/>
          <w:iCs/>
        </w:rPr>
        <w:t xml:space="preserve"> in Giornale di diritto amministrativo</w:t>
      </w:r>
      <w:r w:rsidRPr="002A0527">
        <w:t xml:space="preserve">, n. </w:t>
      </w:r>
      <w:r>
        <w:t>1/2015</w:t>
      </w:r>
      <w:r w:rsidRPr="002A0527">
        <w:t xml:space="preserve">, </w:t>
      </w:r>
      <w:r>
        <w:rPr>
          <w:bCs/>
          <w:iCs/>
        </w:rPr>
        <w:t>Milano, Ipsoa (</w:t>
      </w:r>
      <w:r w:rsidRPr="00365968">
        <w:rPr>
          <w:bCs/>
          <w:i/>
          <w:iCs/>
        </w:rPr>
        <w:t>in corso di pubblicazione</w:t>
      </w:r>
      <w:r>
        <w:rPr>
          <w:bCs/>
          <w:iCs/>
        </w:rPr>
        <w:t>)</w:t>
      </w:r>
      <w:r w:rsidRPr="002A0527">
        <w:t>.</w:t>
      </w:r>
    </w:p>
    <w:p w:rsidR="00957F09" w:rsidRDefault="00957F09" w:rsidP="00957F09">
      <w:pPr>
        <w:spacing w:before="240"/>
        <w:ind w:left="113" w:right="113"/>
        <w:rPr>
          <w:bCs/>
          <w:iCs/>
        </w:rPr>
      </w:pPr>
      <w:r w:rsidRPr="002A0527">
        <w:t>Con F. Sarpi, “</w:t>
      </w:r>
      <w:r w:rsidRPr="001B20AA">
        <w:rPr>
          <w:bCs/>
          <w:iCs/>
        </w:rPr>
        <w:t>Prima l’uovo o la gallina? La</w:t>
      </w:r>
      <w:r>
        <w:rPr>
          <w:bCs/>
          <w:iCs/>
        </w:rPr>
        <w:t xml:space="preserve"> </w:t>
      </w:r>
      <w:proofErr w:type="spellStart"/>
      <w:r w:rsidRPr="001B20AA">
        <w:rPr>
          <w:bCs/>
          <w:i/>
          <w:iCs/>
        </w:rPr>
        <w:t>smart</w:t>
      </w:r>
      <w:proofErr w:type="spellEnd"/>
      <w:r w:rsidRPr="001B20AA">
        <w:rPr>
          <w:bCs/>
          <w:i/>
          <w:iCs/>
        </w:rPr>
        <w:t xml:space="preserve"> </w:t>
      </w:r>
      <w:proofErr w:type="spellStart"/>
      <w:r w:rsidRPr="001B20AA">
        <w:rPr>
          <w:bCs/>
          <w:i/>
          <w:iCs/>
        </w:rPr>
        <w:t>regulation</w:t>
      </w:r>
      <w:proofErr w:type="spellEnd"/>
      <w:r w:rsidRPr="001B20AA">
        <w:rPr>
          <w:bCs/>
          <w:iCs/>
        </w:rPr>
        <w:t xml:space="preserve"> nelle decisioni</w:t>
      </w:r>
      <w:r>
        <w:rPr>
          <w:bCs/>
          <w:iCs/>
        </w:rPr>
        <w:t xml:space="preserve"> </w:t>
      </w:r>
      <w:r w:rsidRPr="001B20AA">
        <w:rPr>
          <w:bCs/>
          <w:iCs/>
        </w:rPr>
        <w:t>delle istituzioni europee</w:t>
      </w:r>
      <w:r w:rsidRPr="002A0527">
        <w:rPr>
          <w:bCs/>
          <w:iCs/>
        </w:rPr>
        <w:t>”</w:t>
      </w:r>
      <w:r>
        <w:rPr>
          <w:bCs/>
          <w:iCs/>
        </w:rPr>
        <w:t>,</w:t>
      </w:r>
      <w:r w:rsidRPr="002A0527">
        <w:rPr>
          <w:bCs/>
          <w:iCs/>
        </w:rPr>
        <w:t xml:space="preserve"> in Giornale di diritto amministrativo, n. 10</w:t>
      </w:r>
      <w:r>
        <w:rPr>
          <w:bCs/>
          <w:iCs/>
        </w:rPr>
        <w:t>/2014</w:t>
      </w:r>
      <w:r w:rsidRPr="002A0527">
        <w:rPr>
          <w:bCs/>
          <w:iCs/>
        </w:rPr>
        <w:t xml:space="preserve">, </w:t>
      </w:r>
      <w:r>
        <w:rPr>
          <w:bCs/>
          <w:iCs/>
        </w:rPr>
        <w:t xml:space="preserve">Milano, Ipsoa, </w:t>
      </w:r>
      <w:r w:rsidRPr="002A0527">
        <w:rPr>
          <w:bCs/>
          <w:iCs/>
        </w:rPr>
        <w:t>ottobre 201</w:t>
      </w:r>
      <w:r>
        <w:rPr>
          <w:bCs/>
          <w:iCs/>
        </w:rPr>
        <w:t>4</w:t>
      </w:r>
      <w:r w:rsidRPr="002A0527">
        <w:rPr>
          <w:bCs/>
          <w:iCs/>
        </w:rPr>
        <w:t xml:space="preserve"> [ISSN: 1591-559X].</w:t>
      </w:r>
    </w:p>
    <w:p w:rsidR="00C83DB1" w:rsidRPr="000479F2" w:rsidRDefault="00C83DB1" w:rsidP="00C83DB1">
      <w:pPr>
        <w:spacing w:before="240"/>
        <w:ind w:left="113" w:right="113"/>
        <w:jc w:val="both"/>
      </w:pPr>
      <w:r w:rsidRPr="000479F2">
        <w:t xml:space="preserve">Con A. Zuliani </w:t>
      </w:r>
      <w:proofErr w:type="spellStart"/>
      <w:r w:rsidRPr="000479F2">
        <w:t>et</w:t>
      </w:r>
      <w:proofErr w:type="spellEnd"/>
      <w:r w:rsidRPr="000479F2">
        <w:t xml:space="preserve"> al., “La responsabilità per danno erariale alla prova del contenzioso”, in Rivista trimestrale di diritto pubblico, Anno LXIII Fasc. 2, </w:t>
      </w:r>
      <w:proofErr w:type="spellStart"/>
      <w:r w:rsidRPr="000479F2">
        <w:t>Giuffré</w:t>
      </w:r>
      <w:proofErr w:type="spellEnd"/>
      <w:r w:rsidRPr="000479F2">
        <w:t xml:space="preserve"> editore, Milano, 2013 </w:t>
      </w:r>
      <w:r w:rsidRPr="000479F2">
        <w:rPr>
          <w:b/>
        </w:rPr>
        <w:t xml:space="preserve"> </w:t>
      </w:r>
      <w:r w:rsidRPr="000479F2">
        <w:t>[ISSN: 0557-1464].</w:t>
      </w:r>
    </w:p>
    <w:p w:rsidR="00C83DB1" w:rsidRDefault="00C83DB1" w:rsidP="00C83DB1">
      <w:pPr>
        <w:spacing w:before="240"/>
        <w:ind w:left="113" w:right="113"/>
        <w:jc w:val="both"/>
      </w:pPr>
      <w:r>
        <w:t>“Misurazione e riduzione degli oneri regolatori: verso un allineamento alle migliori pratiche europee”</w:t>
      </w:r>
      <w:r>
        <w:rPr>
          <w:bCs/>
          <w:iCs/>
        </w:rPr>
        <w:t>,</w:t>
      </w:r>
      <w:r w:rsidRPr="002A0527">
        <w:rPr>
          <w:bCs/>
          <w:iCs/>
        </w:rPr>
        <w:t xml:space="preserve"> in Giornale di diritto amministrativo, n. </w:t>
      </w:r>
      <w:r>
        <w:rPr>
          <w:bCs/>
          <w:iCs/>
        </w:rPr>
        <w:t>7/2012</w:t>
      </w:r>
      <w:r w:rsidRPr="002A0527">
        <w:rPr>
          <w:bCs/>
          <w:iCs/>
        </w:rPr>
        <w:t xml:space="preserve">, </w:t>
      </w:r>
      <w:r>
        <w:rPr>
          <w:bCs/>
          <w:iCs/>
        </w:rPr>
        <w:t>Milano, Ipsoa,</w:t>
      </w:r>
      <w:r w:rsidRPr="00304BF0">
        <w:rPr>
          <w:bCs/>
          <w:iCs/>
        </w:rPr>
        <w:t xml:space="preserve"> ottobre 2012 [ISSN: 1591-559X</w:t>
      </w:r>
      <w:r w:rsidRPr="002A0527">
        <w:rPr>
          <w:bCs/>
          <w:iCs/>
        </w:rPr>
        <w:t>].</w:t>
      </w:r>
    </w:p>
    <w:p w:rsidR="00C83DB1" w:rsidRPr="002A0527" w:rsidRDefault="00C83DB1" w:rsidP="00C83DB1">
      <w:pPr>
        <w:spacing w:before="240"/>
        <w:ind w:left="113" w:right="113"/>
        <w:jc w:val="both"/>
        <w:rPr>
          <w:bCs/>
          <w:iCs/>
        </w:rPr>
      </w:pPr>
      <w:r w:rsidRPr="002A0527">
        <w:t>Con F. Sarpi, “</w:t>
      </w:r>
      <w:r w:rsidRPr="002A0527">
        <w:rPr>
          <w:bCs/>
          <w:iCs/>
        </w:rPr>
        <w:t>Risultati e aspirazioni della misurazione degli oneri amministrativi”</w:t>
      </w:r>
      <w:r>
        <w:rPr>
          <w:bCs/>
          <w:iCs/>
        </w:rPr>
        <w:t>,</w:t>
      </w:r>
      <w:r w:rsidRPr="002A0527">
        <w:rPr>
          <w:bCs/>
          <w:iCs/>
        </w:rPr>
        <w:t xml:space="preserve"> in Giornale di diritto amministrativo, n. 10</w:t>
      </w:r>
      <w:r>
        <w:rPr>
          <w:bCs/>
          <w:iCs/>
        </w:rPr>
        <w:t>/2011</w:t>
      </w:r>
      <w:r w:rsidRPr="002A0527">
        <w:rPr>
          <w:bCs/>
          <w:iCs/>
        </w:rPr>
        <w:t xml:space="preserve">, </w:t>
      </w:r>
      <w:r>
        <w:rPr>
          <w:bCs/>
          <w:iCs/>
        </w:rPr>
        <w:t xml:space="preserve">Milano, Ipsoa, </w:t>
      </w:r>
      <w:r w:rsidRPr="002A0527">
        <w:rPr>
          <w:bCs/>
          <w:iCs/>
        </w:rPr>
        <w:t>ottobre 2011 [ISSN: 1591-559X].</w:t>
      </w:r>
    </w:p>
    <w:p w:rsidR="00C83DB1" w:rsidRPr="002A0527" w:rsidRDefault="00C83DB1" w:rsidP="00C83DB1">
      <w:pPr>
        <w:spacing w:before="240"/>
        <w:ind w:left="113" w:right="113"/>
        <w:jc w:val="both"/>
      </w:pPr>
      <w:r w:rsidRPr="002A0527">
        <w:rPr>
          <w:bCs/>
          <w:iCs/>
        </w:rPr>
        <w:lastRenderedPageBreak/>
        <w:t>“Continuità e sviluppi nelle politiche di semplificazione: il Piano 2010-2012”</w:t>
      </w:r>
      <w:r>
        <w:rPr>
          <w:bCs/>
          <w:iCs/>
        </w:rPr>
        <w:t>,</w:t>
      </w:r>
      <w:r w:rsidRPr="002A0527">
        <w:rPr>
          <w:bCs/>
          <w:iCs/>
        </w:rPr>
        <w:t xml:space="preserve"> in Giornale di diritto amministrativo</w:t>
      </w:r>
      <w:r w:rsidRPr="002A0527">
        <w:t>, n. 7</w:t>
      </w:r>
      <w:r>
        <w:t>/2011</w:t>
      </w:r>
      <w:r w:rsidRPr="002A0527">
        <w:t xml:space="preserve">, </w:t>
      </w:r>
      <w:r>
        <w:rPr>
          <w:bCs/>
          <w:iCs/>
        </w:rPr>
        <w:t xml:space="preserve">Milano, Ipsoa, </w:t>
      </w:r>
      <w:r w:rsidRPr="002A0527">
        <w:t>luglio 2011 [ISSN: 1591-559X].</w:t>
      </w:r>
    </w:p>
    <w:p w:rsidR="00C83DB1" w:rsidRPr="00067063" w:rsidRDefault="00C83DB1" w:rsidP="00C83DB1">
      <w:pPr>
        <w:spacing w:before="240"/>
        <w:ind w:left="113" w:right="113"/>
        <w:jc w:val="both"/>
      </w:pPr>
      <w:r w:rsidRPr="002A0527">
        <w:t xml:space="preserve">Con A. Zuliani </w:t>
      </w:r>
      <w:proofErr w:type="spellStart"/>
      <w:r w:rsidRPr="002A0527">
        <w:t>et</w:t>
      </w:r>
      <w:proofErr w:type="spellEnd"/>
      <w:r w:rsidRPr="002A0527">
        <w:t xml:space="preserve"> al., “Un’analisi statistica delle sentenze della Corte dei conti: prime evidenze”, in Rivista trimestrale di diritto pubblico, Anno LIX n. 3, </w:t>
      </w:r>
      <w:proofErr w:type="spellStart"/>
      <w:r w:rsidRPr="002A0527">
        <w:t>Giuffré</w:t>
      </w:r>
      <w:proofErr w:type="spellEnd"/>
      <w:r w:rsidRPr="002A0527">
        <w:t xml:space="preserve"> editore, Milano, 2009 </w:t>
      </w:r>
      <w:r w:rsidRPr="002A0527">
        <w:rPr>
          <w:b/>
        </w:rPr>
        <w:t xml:space="preserve"> </w:t>
      </w:r>
      <w:r w:rsidRPr="002A0527">
        <w:t>[ISSN: 0557-1464].</w:t>
      </w:r>
    </w:p>
    <w:p w:rsidR="00C83DB1" w:rsidRDefault="00C83DB1" w:rsidP="00C83DB1">
      <w:pPr>
        <w:spacing w:before="240"/>
        <w:ind w:left="113" w:right="113"/>
        <w:jc w:val="both"/>
      </w:pPr>
      <w:r w:rsidRPr="00067063">
        <w:t xml:space="preserve">“Gli indici aggregati dello sviluppo socioeconomico: questioni </w:t>
      </w:r>
      <w:proofErr w:type="spellStart"/>
      <w:r w:rsidRPr="00067063">
        <w:t>definitorie</w:t>
      </w:r>
      <w:proofErr w:type="spellEnd"/>
      <w:r w:rsidRPr="00067063">
        <w:t xml:space="preserve"> e problemi metodologici” in </w:t>
      </w:r>
      <w:proofErr w:type="spellStart"/>
      <w:r w:rsidRPr="00067063">
        <w:t>Politeia</w:t>
      </w:r>
      <w:proofErr w:type="spellEnd"/>
      <w:r w:rsidRPr="00067063">
        <w:t xml:space="preserve"> - Rivista di etica e scelte pubbliche, n. 4, 2002</w:t>
      </w:r>
      <w:r>
        <w:t xml:space="preserve"> </w:t>
      </w:r>
      <w:r w:rsidRPr="003107F9">
        <w:t>[ISSN: 1128-2401]</w:t>
      </w:r>
      <w:r w:rsidRPr="00067063">
        <w:t>.</w:t>
      </w:r>
    </w:p>
    <w:p w:rsidR="00C83DB1" w:rsidRDefault="00C83DB1" w:rsidP="00C83DB1">
      <w:pPr>
        <w:jc w:val="both"/>
        <w:rPr>
          <w:b/>
        </w:rPr>
      </w:pPr>
    </w:p>
    <w:p w:rsidR="00C83DB1" w:rsidRDefault="00C83DB1" w:rsidP="00C83DB1">
      <w:pPr>
        <w:jc w:val="both"/>
      </w:pPr>
      <w:r w:rsidRPr="00C83DB1">
        <w:rPr>
          <w:b/>
        </w:rPr>
        <w:t>Altre pubblicazioni</w:t>
      </w:r>
      <w:r>
        <w:t xml:space="preserve"> </w:t>
      </w:r>
      <w:r w:rsidRPr="00C83DB1">
        <w:t>(pubblicazioni elettroniche, studi e ricerche online)</w:t>
      </w:r>
    </w:p>
    <w:p w:rsidR="00957F09" w:rsidRDefault="00957F09" w:rsidP="00C83DB1">
      <w:pPr>
        <w:spacing w:before="240"/>
        <w:ind w:left="113" w:right="113"/>
        <w:jc w:val="both"/>
      </w:pPr>
      <w:r w:rsidRPr="00067063">
        <w:t xml:space="preserve">“L’Air nella </w:t>
      </w:r>
      <w:r w:rsidRPr="002A0527">
        <w:t>Banca d’Italia”, Osservatorio sull’Analisi d’impatto della regolazione, S</w:t>
      </w:r>
      <w:r>
        <w:t>2</w:t>
      </w:r>
      <w:r w:rsidRPr="002A0527">
        <w:t>/201</w:t>
      </w:r>
      <w:r>
        <w:t>4</w:t>
      </w:r>
      <w:r w:rsidRPr="002A0527">
        <w:t xml:space="preserve">, </w:t>
      </w:r>
      <w:r>
        <w:t>marzo 2014</w:t>
      </w:r>
      <w:r w:rsidRPr="002A0527">
        <w:t>, disponibile all’indirizzo:</w:t>
      </w:r>
      <w:r>
        <w:t xml:space="preserve"> </w:t>
      </w:r>
      <w:hyperlink r:id="rId4" w:history="1">
        <w:r w:rsidRPr="00984A08">
          <w:rPr>
            <w:rStyle w:val="Collegamentoipertestuale"/>
          </w:rPr>
          <w:t>http://www.osservatorioair.it/wp-content/uploads/2014/03/OsservatorioAIR_BancaItalia_marzo2014.pdf</w:t>
        </w:r>
      </w:hyperlink>
      <w:r>
        <w:t xml:space="preserve"> </w:t>
      </w:r>
    </w:p>
    <w:p w:rsidR="00C83DB1" w:rsidRDefault="00C83DB1" w:rsidP="00C83DB1">
      <w:pPr>
        <w:spacing w:before="240"/>
        <w:ind w:left="113" w:right="113"/>
        <w:jc w:val="both"/>
      </w:pPr>
      <w:r>
        <w:t>“</w:t>
      </w:r>
      <w:r w:rsidRPr="005B54E3">
        <w:t>Valutazione ex pos</w:t>
      </w:r>
      <w:r>
        <w:t>t: le nuove linee guida europee”</w:t>
      </w:r>
      <w:r w:rsidRPr="00067063">
        <w:t>, in Osservatorio sull’Analis</w:t>
      </w:r>
      <w:r>
        <w:t>i di Impatto della Regolazione, Rassegna Trimestrale Anno V</w:t>
      </w:r>
      <w:r w:rsidRPr="00067063">
        <w:t xml:space="preserve">  n. </w:t>
      </w:r>
      <w:r>
        <w:t>1</w:t>
      </w:r>
      <w:r w:rsidRPr="00067063">
        <w:t xml:space="preserve">, </w:t>
      </w:r>
      <w:r>
        <w:t>gennaio 2014 [</w:t>
      </w:r>
      <w:r w:rsidRPr="00857B13">
        <w:t>ISSN 2280-9198</w:t>
      </w:r>
      <w:r>
        <w:t>]</w:t>
      </w:r>
      <w:r w:rsidRPr="00067063">
        <w:t>.</w:t>
      </w:r>
    </w:p>
    <w:p w:rsidR="00C83DB1" w:rsidRDefault="00C83DB1" w:rsidP="00C83DB1">
      <w:pPr>
        <w:spacing w:before="240"/>
        <w:ind w:left="113" w:right="113"/>
        <w:jc w:val="both"/>
      </w:pPr>
      <w:r>
        <w:t>“</w:t>
      </w:r>
      <w:r w:rsidRPr="00F10935">
        <w:t>Le analisi sulla normativa segnaletica della Banca</w:t>
      </w:r>
      <w:r>
        <w:t xml:space="preserve"> d’Italia tra AIR e MOA ex ante”</w:t>
      </w:r>
      <w:r w:rsidRPr="00067063">
        <w:t>, in Osservatorio sull’Analis</w:t>
      </w:r>
      <w:r>
        <w:t>i di Impatto della Regolazione,</w:t>
      </w:r>
      <w:r w:rsidRPr="00067063">
        <w:t xml:space="preserve"> Rassegna Trimestrale Anno I</w:t>
      </w:r>
      <w:r>
        <w:t>V</w:t>
      </w:r>
      <w:r w:rsidRPr="00067063">
        <w:t xml:space="preserve">  n. </w:t>
      </w:r>
      <w:r>
        <w:t>3</w:t>
      </w:r>
      <w:r w:rsidRPr="00067063">
        <w:t xml:space="preserve">, </w:t>
      </w:r>
      <w:r>
        <w:t>ottobre 2013 [</w:t>
      </w:r>
      <w:r w:rsidRPr="00857B13">
        <w:t>ISSN 2280-9198</w:t>
      </w:r>
      <w:r>
        <w:t>]</w:t>
      </w:r>
      <w:r w:rsidRPr="00067063">
        <w:t>.</w:t>
      </w:r>
    </w:p>
    <w:p w:rsidR="00C83DB1" w:rsidRDefault="00C83DB1" w:rsidP="00C83DB1">
      <w:pPr>
        <w:spacing w:before="240"/>
        <w:ind w:left="113" w:right="113"/>
        <w:jc w:val="both"/>
      </w:pPr>
      <w:r>
        <w:t xml:space="preserve"> “</w:t>
      </w:r>
      <w:r w:rsidRPr="00304BF0">
        <w:t xml:space="preserve">Gli approcci alla valutazione nelle politiche di </w:t>
      </w:r>
      <w:proofErr w:type="spellStart"/>
      <w:r w:rsidRPr="00304BF0">
        <w:t>better</w:t>
      </w:r>
      <w:proofErr w:type="spellEnd"/>
      <w:r w:rsidRPr="00304BF0">
        <w:t xml:space="preserve"> </w:t>
      </w:r>
      <w:proofErr w:type="spellStart"/>
      <w:r w:rsidRPr="00304BF0">
        <w:t>regulation</w:t>
      </w:r>
      <w:proofErr w:type="spellEnd"/>
      <w:r w:rsidRPr="00304BF0">
        <w:t xml:space="preserve">: la </w:t>
      </w:r>
      <w:proofErr w:type="spellStart"/>
      <w:r w:rsidRPr="00304BF0">
        <w:t>Regulatory</w:t>
      </w:r>
      <w:proofErr w:type="spellEnd"/>
      <w:r w:rsidRPr="00304BF0">
        <w:t xml:space="preserve"> impact </w:t>
      </w:r>
      <w:proofErr w:type="spellStart"/>
      <w:r w:rsidRPr="00304BF0">
        <w:t>analisys</w:t>
      </w:r>
      <w:proofErr w:type="spellEnd"/>
      <w:r>
        <w:t>”</w:t>
      </w:r>
      <w:r w:rsidRPr="00304BF0">
        <w:t xml:space="preserve">, in </w:t>
      </w:r>
      <w:r>
        <w:t>“</w:t>
      </w:r>
      <w:r w:rsidRPr="00304BF0">
        <w:t xml:space="preserve">I </w:t>
      </w:r>
      <w:proofErr w:type="spellStart"/>
      <w:r w:rsidRPr="00304BF0">
        <w:t>paper</w:t>
      </w:r>
      <w:proofErr w:type="spellEnd"/>
      <w:r w:rsidRPr="00304BF0">
        <w:t xml:space="preserve"> dell’Osservatorio</w:t>
      </w:r>
      <w:r>
        <w:t>”</w:t>
      </w:r>
      <w:r w:rsidRPr="00304BF0">
        <w:t>, Osservatorio sull’Analisi di Impatto della Regolazione, P 1/2013</w:t>
      </w:r>
      <w:r>
        <w:t>, marzo 2013</w:t>
      </w:r>
      <w:r w:rsidRPr="00304BF0">
        <w:t xml:space="preserve"> </w:t>
      </w:r>
      <w:r>
        <w:t>[</w:t>
      </w:r>
      <w:r w:rsidRPr="00304BF0">
        <w:t>ISSN 2280-8698</w:t>
      </w:r>
      <w:r>
        <w:t>]</w:t>
      </w:r>
      <w:r w:rsidRPr="002A0527">
        <w:t>, disponibile all’indirizzo:</w:t>
      </w:r>
      <w:r>
        <w:t xml:space="preserve"> </w:t>
      </w:r>
      <w:hyperlink r:id="rId5" w:history="1">
        <w:r w:rsidRPr="00C83625">
          <w:rPr>
            <w:rStyle w:val="Collegamentoipertestuale"/>
          </w:rPr>
          <w:t>http://www.osservatorioair.it/wp-content/uploads/2013/04/OssAIR_Salvi_Valutazione-BetterRegulation_P1-2013.pdf</w:t>
        </w:r>
      </w:hyperlink>
    </w:p>
    <w:p w:rsidR="00C83DB1" w:rsidRDefault="00C83DB1" w:rsidP="00C83DB1">
      <w:pPr>
        <w:spacing w:before="240"/>
        <w:ind w:left="113" w:right="113"/>
        <w:jc w:val="both"/>
      </w:pPr>
      <w:r>
        <w:t>“</w:t>
      </w:r>
      <w:proofErr w:type="spellStart"/>
      <w:r>
        <w:t>Measuring</w:t>
      </w:r>
      <w:proofErr w:type="spellEnd"/>
      <w:r>
        <w:t xml:space="preserve"> </w:t>
      </w:r>
      <w:proofErr w:type="spellStart"/>
      <w:r>
        <w:t>Regulatory</w:t>
      </w:r>
      <w:proofErr w:type="spellEnd"/>
      <w:r>
        <w:t xml:space="preserve"> Performance: una rassegna della letteratura”</w:t>
      </w:r>
      <w:r w:rsidRPr="00067063">
        <w:t>, in Osservatorio sull’Analis</w:t>
      </w:r>
      <w:r>
        <w:t>i di Impatto della Regolazione,</w:t>
      </w:r>
      <w:r w:rsidRPr="00067063">
        <w:t xml:space="preserve"> Rassegna Trimestrale Anno II</w:t>
      </w:r>
      <w:r>
        <w:t>I</w:t>
      </w:r>
      <w:r w:rsidRPr="00067063">
        <w:t xml:space="preserve">  n. </w:t>
      </w:r>
      <w:r>
        <w:t>4</w:t>
      </w:r>
      <w:r w:rsidRPr="00067063">
        <w:t xml:space="preserve">, </w:t>
      </w:r>
      <w:r>
        <w:t>ottobre 2012 [</w:t>
      </w:r>
      <w:r w:rsidRPr="00857B13">
        <w:t>ISSN 2280-9198</w:t>
      </w:r>
      <w:r>
        <w:t>]</w:t>
      </w:r>
      <w:r w:rsidRPr="00067063">
        <w:t>.</w:t>
      </w:r>
    </w:p>
    <w:p w:rsidR="00C83DB1" w:rsidRDefault="00C83DB1" w:rsidP="00C83DB1">
      <w:pPr>
        <w:spacing w:before="240"/>
        <w:ind w:left="113" w:right="113"/>
        <w:jc w:val="both"/>
      </w:pPr>
      <w:r>
        <w:t>“</w:t>
      </w:r>
      <w:r w:rsidRPr="00857B13">
        <w:t>A</w:t>
      </w:r>
      <w:r>
        <w:t>ir</w:t>
      </w:r>
      <w:r w:rsidRPr="00857B13">
        <w:t>, ancora molto resta da fare. La relazione al Parlamento per l’anno 2011</w:t>
      </w:r>
      <w:r>
        <w:t>”</w:t>
      </w:r>
      <w:r w:rsidRPr="00067063">
        <w:t>, in Osservatorio sull’Analis</w:t>
      </w:r>
      <w:r>
        <w:t>i di Impatto della Regolazione,</w:t>
      </w:r>
      <w:r w:rsidRPr="00067063">
        <w:t xml:space="preserve"> Rassegna Trimestrale Anno II</w:t>
      </w:r>
      <w:r>
        <w:t>I</w:t>
      </w:r>
      <w:r w:rsidRPr="00067063">
        <w:t xml:space="preserve">  n. </w:t>
      </w:r>
      <w:r>
        <w:t>3</w:t>
      </w:r>
      <w:r w:rsidRPr="00067063">
        <w:t xml:space="preserve">, </w:t>
      </w:r>
      <w:r>
        <w:t>luglio 2012 [</w:t>
      </w:r>
      <w:r w:rsidRPr="00857B13">
        <w:t>ISSN 2280-9198</w:t>
      </w:r>
      <w:r>
        <w:t>]</w:t>
      </w:r>
      <w:r w:rsidRPr="00067063">
        <w:t>.</w:t>
      </w:r>
      <w:r w:rsidRPr="00857B13">
        <w:t xml:space="preserve"> </w:t>
      </w:r>
    </w:p>
    <w:p w:rsidR="00C83DB1" w:rsidRPr="00067063" w:rsidRDefault="00C83DB1" w:rsidP="00C83DB1">
      <w:pPr>
        <w:spacing w:before="240"/>
        <w:ind w:left="113" w:right="113"/>
        <w:jc w:val="both"/>
      </w:pPr>
      <w:r w:rsidRPr="00067063">
        <w:t xml:space="preserve"> “</w:t>
      </w:r>
      <w:r w:rsidRPr="004D5FE5">
        <w:t>Il legame con l’Air e la compensazione degli oneri: le nuove prospettive della MOA</w:t>
      </w:r>
      <w:r>
        <w:t>”</w:t>
      </w:r>
      <w:r w:rsidRPr="00067063">
        <w:t>, in Osservatorio sull’Analis</w:t>
      </w:r>
      <w:r>
        <w:t>i di Impatto della Regolazione,</w:t>
      </w:r>
      <w:r w:rsidRPr="00067063">
        <w:t xml:space="preserve"> Rassegna Trimestrale Anno II</w:t>
      </w:r>
      <w:r>
        <w:t>I</w:t>
      </w:r>
      <w:r w:rsidRPr="00067063">
        <w:t xml:space="preserve">  n. </w:t>
      </w:r>
      <w:r>
        <w:t>1</w:t>
      </w:r>
      <w:r w:rsidRPr="00067063">
        <w:t xml:space="preserve">, </w:t>
      </w:r>
      <w:r>
        <w:t>gennaio 2012</w:t>
      </w:r>
      <w:r w:rsidRPr="00067063">
        <w:t>.</w:t>
      </w:r>
    </w:p>
    <w:p w:rsidR="00C83DB1" w:rsidRPr="00067063" w:rsidRDefault="00C83DB1" w:rsidP="00C83DB1">
      <w:pPr>
        <w:spacing w:before="240"/>
        <w:ind w:left="113" w:right="113"/>
        <w:jc w:val="both"/>
      </w:pPr>
      <w:r w:rsidRPr="00067063">
        <w:t xml:space="preserve"> “L’A</w:t>
      </w:r>
      <w:r>
        <w:t>ir</w:t>
      </w:r>
      <w:r w:rsidRPr="00067063">
        <w:t xml:space="preserve"> semplificata: la prima applicazione della Banca d’Italia” in Osservatorio sull’Analisi di Impatto della Regolazione, Rassegna Trimestrale Anno II  n. 2, aprile 2011.</w:t>
      </w:r>
    </w:p>
    <w:p w:rsidR="00C83DB1" w:rsidRPr="00067063" w:rsidRDefault="00C83DB1" w:rsidP="00C83DB1">
      <w:pPr>
        <w:spacing w:before="240"/>
        <w:ind w:left="113" w:right="113"/>
        <w:jc w:val="both"/>
      </w:pPr>
      <w:r w:rsidRPr="00067063">
        <w:t xml:space="preserve"> “Le linee guida A</w:t>
      </w:r>
      <w:r>
        <w:t>ir</w:t>
      </w:r>
      <w:r w:rsidRPr="00067063">
        <w:t xml:space="preserve"> della Banca d’Italia: un’applicazione del principio di proporzionalità” in Osservatorio sull’Analisi di Impatto della Regolazione, Rassegna Trimestrale Anno II  n. 1, gennaio 2011.</w:t>
      </w:r>
    </w:p>
    <w:p w:rsidR="00C83DB1" w:rsidRPr="00067063" w:rsidRDefault="00C83DB1" w:rsidP="00C83DB1">
      <w:pPr>
        <w:spacing w:before="240"/>
        <w:ind w:left="113" w:right="113"/>
        <w:jc w:val="both"/>
      </w:pPr>
      <w:r w:rsidRPr="00067063">
        <w:t>“</w:t>
      </w:r>
      <w:proofErr w:type="spellStart"/>
      <w:r w:rsidRPr="00067063">
        <w:t>Fewer</w:t>
      </w:r>
      <w:proofErr w:type="spellEnd"/>
      <w:r w:rsidRPr="00067063">
        <w:t xml:space="preserve"> </w:t>
      </w:r>
      <w:proofErr w:type="spellStart"/>
      <w:r w:rsidRPr="00067063">
        <w:t>RIAs</w:t>
      </w:r>
      <w:proofErr w:type="spellEnd"/>
      <w:r w:rsidRPr="00067063">
        <w:t xml:space="preserve"> </w:t>
      </w:r>
      <w:proofErr w:type="spellStart"/>
      <w:r w:rsidRPr="00067063">
        <w:t>but</w:t>
      </w:r>
      <w:proofErr w:type="spellEnd"/>
      <w:r w:rsidRPr="00067063">
        <w:t xml:space="preserve"> </w:t>
      </w:r>
      <w:proofErr w:type="spellStart"/>
      <w:r w:rsidRPr="00067063">
        <w:t>better</w:t>
      </w:r>
      <w:proofErr w:type="spellEnd"/>
      <w:r w:rsidRPr="00067063">
        <w:t xml:space="preserve"> </w:t>
      </w:r>
      <w:proofErr w:type="spellStart"/>
      <w:r w:rsidRPr="00067063">
        <w:t>RIAs</w:t>
      </w:r>
      <w:proofErr w:type="spellEnd"/>
      <w:r w:rsidRPr="00067063">
        <w:t>: i primi risultati dell’EU 15 project” in Osservatorio sull’Analisi di Impatto della Regolazione, Rassegna Trimestrale Anno I  n. 4, ottobre 2010.</w:t>
      </w:r>
    </w:p>
    <w:p w:rsidR="00C83DB1" w:rsidRPr="00067063" w:rsidRDefault="00C83DB1" w:rsidP="00C83DB1">
      <w:pPr>
        <w:spacing w:before="240"/>
        <w:ind w:left="113" w:right="113"/>
        <w:jc w:val="both"/>
      </w:pPr>
      <w:r w:rsidRPr="00067063">
        <w:t xml:space="preserve">“La sfida della verifica dell’impatto della regolazione” in Osservatorio sull’Analisi di Impatto della Regolazione, Rassegna Trimestrale Anno I  n. 2, aprile 2010. </w:t>
      </w:r>
    </w:p>
    <w:p w:rsidR="00C83DB1" w:rsidRPr="00067063" w:rsidRDefault="00C83DB1" w:rsidP="00C83DB1">
      <w:pPr>
        <w:spacing w:before="240"/>
        <w:ind w:left="113" w:right="113"/>
        <w:jc w:val="both"/>
      </w:pPr>
      <w:r w:rsidRPr="00067063">
        <w:t xml:space="preserve"> “La disciplina di regolamentazione degli atti della Banca d’Italia” in Osservatorio sull’Analisi di Impatto della Regolazione, Rassegna Trimestrale Anno I  n. 1, febbraio 2010.</w:t>
      </w:r>
    </w:p>
    <w:p w:rsidR="00C83DB1" w:rsidRPr="002A0527" w:rsidRDefault="00C83DB1" w:rsidP="00C83DB1">
      <w:pPr>
        <w:spacing w:before="240"/>
        <w:ind w:left="113" w:right="113"/>
        <w:jc w:val="both"/>
      </w:pPr>
      <w:r w:rsidRPr="00067063">
        <w:t>“</w:t>
      </w:r>
      <w:r w:rsidRPr="002A0527">
        <w:t xml:space="preserve">La qualità della regolazione in Italia tra buone intenzioni e modesti risultati: un confronto internazionale”, in </w:t>
      </w:r>
      <w:proofErr w:type="spellStart"/>
      <w:r w:rsidRPr="002A0527">
        <w:t>Astrid</w:t>
      </w:r>
      <w:proofErr w:type="spellEnd"/>
      <w:r w:rsidRPr="002A0527">
        <w:t xml:space="preserve"> Rassegna, n. 15, agosto 2009, disponibile all’indirizzo: </w:t>
      </w:r>
      <w:hyperlink r:id="rId6" w:history="1">
        <w:r w:rsidRPr="002A0527">
          <w:rPr>
            <w:rStyle w:val="Collegamentoipertestuale"/>
          </w:rPr>
          <w:t>http://www.astrid-online.it/rassegna/02-09-2009/03_AstridRassegna_QR_Salvi.pdf</w:t>
        </w:r>
      </w:hyperlink>
    </w:p>
    <w:p w:rsidR="00C83DB1" w:rsidRPr="002A0527" w:rsidRDefault="00C83DB1" w:rsidP="00C83DB1">
      <w:pPr>
        <w:spacing w:before="240"/>
        <w:ind w:left="113" w:right="113"/>
        <w:jc w:val="both"/>
      </w:pPr>
      <w:r w:rsidRPr="002A0527">
        <w:t xml:space="preserve">Collaborazione alla redazione di: UANAS- Dipartimento della Funzione pubblica, “Misurare per semplificare - Primo rapporto sulla misurazione degli oneri amministrativi”, a cura di S. Paparo, ottobre 2008. </w:t>
      </w:r>
    </w:p>
    <w:p w:rsidR="00C83DB1" w:rsidRPr="002A0527" w:rsidRDefault="00C83DB1" w:rsidP="00C83DB1">
      <w:pPr>
        <w:spacing w:before="240"/>
        <w:ind w:left="113" w:right="113"/>
        <w:jc w:val="both"/>
      </w:pPr>
      <w:r w:rsidRPr="002A0527">
        <w:t xml:space="preserve">Coautrice del volume </w:t>
      </w:r>
      <w:proofErr w:type="spellStart"/>
      <w:r w:rsidRPr="002A0527">
        <w:t>Cittalia</w:t>
      </w:r>
      <w:proofErr w:type="spellEnd"/>
      <w:r w:rsidRPr="002A0527">
        <w:t xml:space="preserve"> – Fondazione </w:t>
      </w:r>
      <w:proofErr w:type="spellStart"/>
      <w:r w:rsidRPr="002A0527">
        <w:t>Anci</w:t>
      </w:r>
      <w:proofErr w:type="spellEnd"/>
      <w:r w:rsidRPr="002A0527">
        <w:t xml:space="preserve"> ricerche “Artigiani del welfare”, ottobre 2008, predisposto in occasione della XXV Assemblea annuale dell’</w:t>
      </w:r>
      <w:proofErr w:type="spellStart"/>
      <w:r w:rsidRPr="002A0527">
        <w:t>Anci</w:t>
      </w:r>
      <w:proofErr w:type="spellEnd"/>
      <w:r w:rsidRPr="002A0527">
        <w:t xml:space="preserve">, disponibile all’indirizzo: </w:t>
      </w:r>
      <w:hyperlink r:id="rId7" w:history="1">
        <w:r w:rsidRPr="002A0527">
          <w:rPr>
            <w:rStyle w:val="Collegamentoipertestuale"/>
          </w:rPr>
          <w:t>http://www.cittalia.it/images/file/Artigiani_del_welfare.pdf</w:t>
        </w:r>
      </w:hyperlink>
    </w:p>
    <w:p w:rsidR="00C83DB1" w:rsidRDefault="00C83DB1" w:rsidP="00C83DB1">
      <w:pPr>
        <w:spacing w:before="240"/>
        <w:ind w:left="113" w:right="113"/>
        <w:jc w:val="both"/>
      </w:pPr>
      <w:r>
        <w:t xml:space="preserve">Con A. Natalini e F. Sarpi, </w:t>
      </w:r>
      <w:r w:rsidRPr="002A0527">
        <w:t xml:space="preserve">“La nuova semplificazione a livello comunale”, in </w:t>
      </w:r>
      <w:proofErr w:type="spellStart"/>
      <w:r w:rsidRPr="002A0527">
        <w:t>FormAutonomie</w:t>
      </w:r>
      <w:proofErr w:type="spellEnd"/>
      <w:r w:rsidRPr="002A0527">
        <w:t xml:space="preserve"> – Formez “Azioni e politiche delle autonomie locali per la competitività dei sistemi economici territoriali”</w:t>
      </w:r>
      <w:r>
        <w:t>, giugno 2007.</w:t>
      </w:r>
    </w:p>
    <w:p w:rsidR="00C83DB1" w:rsidRPr="00067063" w:rsidRDefault="00C83DB1" w:rsidP="00C83DB1">
      <w:pPr>
        <w:pStyle w:val="CVNormal"/>
        <w:jc w:val="both"/>
      </w:pPr>
    </w:p>
    <w:sectPr w:rsidR="00C83DB1" w:rsidRPr="00067063" w:rsidSect="004814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C83DB1"/>
    <w:rsid w:val="000D16D1"/>
    <w:rsid w:val="001C6043"/>
    <w:rsid w:val="00481400"/>
    <w:rsid w:val="00491DE0"/>
    <w:rsid w:val="0060266D"/>
    <w:rsid w:val="006E07E0"/>
    <w:rsid w:val="007D1DB1"/>
    <w:rsid w:val="008D1E90"/>
    <w:rsid w:val="00957F09"/>
    <w:rsid w:val="00C83DB1"/>
    <w:rsid w:val="00D6588C"/>
    <w:rsid w:val="00E227DD"/>
    <w:rsid w:val="00EC327F"/>
    <w:rsid w:val="00FA3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3DB1"/>
    <w:pPr>
      <w:suppressAutoHyphens/>
    </w:pPr>
    <w:rPr>
      <w:rFonts w:ascii="Arial Narrow" w:hAnsi="Arial Narrow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0D16D1"/>
    <w:pPr>
      <w:keepNext/>
      <w:tabs>
        <w:tab w:val="left" w:pos="360"/>
        <w:tab w:val="left" w:pos="3240"/>
        <w:tab w:val="left" w:pos="7020"/>
        <w:tab w:val="left" w:pos="7560"/>
      </w:tabs>
      <w:suppressAutoHyphens w:val="0"/>
      <w:ind w:left="540"/>
      <w:jc w:val="both"/>
      <w:outlineLvl w:val="0"/>
    </w:pPr>
    <w:rPr>
      <w:rFonts w:ascii="Times New Roman" w:hAnsi="Times New Roman"/>
      <w:b/>
      <w:bCs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0D16D1"/>
    <w:pPr>
      <w:keepNext/>
      <w:suppressAutoHyphens w:val="0"/>
      <w:ind w:left="-89" w:right="-408"/>
      <w:outlineLvl w:val="1"/>
    </w:pPr>
    <w:rPr>
      <w:rFonts w:ascii="Times New Roman" w:hAnsi="Times New Roman"/>
      <w:b/>
      <w:bCs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0D16D1"/>
    <w:pPr>
      <w:keepNext/>
      <w:suppressAutoHyphens w:val="0"/>
      <w:ind w:right="424" w:firstLine="12"/>
      <w:outlineLvl w:val="2"/>
    </w:pPr>
    <w:rPr>
      <w:rFonts w:ascii="Times New Roman" w:hAnsi="Times New Roman"/>
      <w:b/>
      <w:bCs/>
      <w:iCs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0D16D1"/>
    <w:pPr>
      <w:keepNext/>
      <w:suppressAutoHyphens w:val="0"/>
      <w:ind w:right="-408" w:firstLine="101"/>
      <w:outlineLvl w:val="3"/>
    </w:pPr>
    <w:rPr>
      <w:rFonts w:ascii="Times New Roman" w:hAnsi="Times New Roman"/>
      <w:b/>
      <w:bCs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0D16D1"/>
    <w:pPr>
      <w:keepNext/>
      <w:suppressAutoHyphens w:val="0"/>
      <w:ind w:right="424" w:firstLine="720"/>
      <w:jc w:val="both"/>
      <w:outlineLvl w:val="4"/>
    </w:pPr>
    <w:rPr>
      <w:rFonts w:ascii="Verdana" w:hAnsi="Verdana"/>
      <w:i/>
      <w:sz w:val="22"/>
      <w:szCs w:val="22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D16D1"/>
    <w:rPr>
      <w:b/>
      <w:bCs/>
    </w:rPr>
  </w:style>
  <w:style w:type="character" w:customStyle="1" w:styleId="Titolo2Carattere">
    <w:name w:val="Titolo 2 Carattere"/>
    <w:basedOn w:val="Carpredefinitoparagrafo"/>
    <w:link w:val="Titolo2"/>
    <w:rsid w:val="000D16D1"/>
    <w:rPr>
      <w:b/>
      <w:bCs/>
    </w:rPr>
  </w:style>
  <w:style w:type="character" w:customStyle="1" w:styleId="Titolo3Carattere">
    <w:name w:val="Titolo 3 Carattere"/>
    <w:basedOn w:val="Carpredefinitoparagrafo"/>
    <w:link w:val="Titolo3"/>
    <w:rsid w:val="000D16D1"/>
    <w:rPr>
      <w:b/>
      <w:bCs/>
      <w:iCs/>
    </w:rPr>
  </w:style>
  <w:style w:type="character" w:customStyle="1" w:styleId="Titolo4Carattere">
    <w:name w:val="Titolo 4 Carattere"/>
    <w:basedOn w:val="Carpredefinitoparagrafo"/>
    <w:link w:val="Titolo4"/>
    <w:rsid w:val="000D16D1"/>
    <w:rPr>
      <w:b/>
      <w:bCs/>
    </w:rPr>
  </w:style>
  <w:style w:type="character" w:customStyle="1" w:styleId="Titolo5Carattere">
    <w:name w:val="Titolo 5 Carattere"/>
    <w:basedOn w:val="Carpredefinitoparagrafo"/>
    <w:link w:val="Titolo5"/>
    <w:rsid w:val="000D16D1"/>
    <w:rPr>
      <w:rFonts w:ascii="Verdana" w:hAnsi="Verdana"/>
      <w:i/>
      <w:sz w:val="22"/>
      <w:szCs w:val="22"/>
      <w:u w:val="single"/>
    </w:rPr>
  </w:style>
  <w:style w:type="paragraph" w:styleId="Titolo">
    <w:name w:val="Title"/>
    <w:basedOn w:val="Normale"/>
    <w:next w:val="Normale"/>
    <w:link w:val="TitoloCarattere"/>
    <w:qFormat/>
    <w:rsid w:val="000D16D1"/>
    <w:pPr>
      <w:suppressAutoHyphens w:val="0"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0D16D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ottotitolo">
    <w:name w:val="Subtitle"/>
    <w:basedOn w:val="Normale"/>
    <w:next w:val="Normale"/>
    <w:link w:val="SottotitoloCarattere"/>
    <w:qFormat/>
    <w:rsid w:val="000D16D1"/>
    <w:pPr>
      <w:suppressAutoHyphens w:val="0"/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0D16D1"/>
    <w:rPr>
      <w:rFonts w:asciiTheme="majorHAnsi" w:eastAsiaTheme="majorEastAsia" w:hAnsiTheme="majorHAnsi" w:cstheme="majorBidi"/>
      <w:sz w:val="24"/>
      <w:szCs w:val="24"/>
    </w:rPr>
  </w:style>
  <w:style w:type="character" w:styleId="Enfasigrassetto">
    <w:name w:val="Strong"/>
    <w:basedOn w:val="Carpredefinitoparagrafo"/>
    <w:qFormat/>
    <w:rsid w:val="000D16D1"/>
    <w:rPr>
      <w:b/>
      <w:bCs/>
    </w:rPr>
  </w:style>
  <w:style w:type="character" w:styleId="Enfasicorsivo">
    <w:name w:val="Emphasis"/>
    <w:basedOn w:val="Carpredefinitoparagrafo"/>
    <w:qFormat/>
    <w:rsid w:val="000D16D1"/>
    <w:rPr>
      <w:i/>
      <w:iCs/>
    </w:rPr>
  </w:style>
  <w:style w:type="paragraph" w:styleId="Paragrafoelenco">
    <w:name w:val="List Paragraph"/>
    <w:basedOn w:val="Normale"/>
    <w:uiPriority w:val="34"/>
    <w:qFormat/>
    <w:rsid w:val="000D16D1"/>
    <w:pPr>
      <w:suppressAutoHyphens w:val="0"/>
      <w:ind w:left="720"/>
      <w:contextualSpacing/>
    </w:pPr>
    <w:rPr>
      <w:rFonts w:ascii="Times New Roman" w:eastAsia="Calibri" w:hAnsi="Times New Roman"/>
      <w:sz w:val="24"/>
      <w:szCs w:val="24"/>
      <w:lang w:eastAsia="it-IT"/>
    </w:rPr>
  </w:style>
  <w:style w:type="character" w:styleId="Collegamentoipertestuale">
    <w:name w:val="Hyperlink"/>
    <w:semiHidden/>
    <w:rsid w:val="00C83DB1"/>
    <w:rPr>
      <w:color w:val="0000FF"/>
      <w:u w:val="single"/>
    </w:rPr>
  </w:style>
  <w:style w:type="paragraph" w:customStyle="1" w:styleId="CVHeading1">
    <w:name w:val="CV Heading 1"/>
    <w:basedOn w:val="Normale"/>
    <w:next w:val="Normale"/>
    <w:rsid w:val="00C83DB1"/>
    <w:pPr>
      <w:spacing w:before="74"/>
      <w:ind w:left="113" w:right="113"/>
      <w:jc w:val="right"/>
    </w:pPr>
    <w:rPr>
      <w:b/>
      <w:sz w:val="24"/>
    </w:rPr>
  </w:style>
  <w:style w:type="paragraph" w:customStyle="1" w:styleId="CVNormal">
    <w:name w:val="CV Normal"/>
    <w:basedOn w:val="Normale"/>
    <w:rsid w:val="00C83DB1"/>
    <w:pPr>
      <w:ind w:left="113" w:right="113"/>
    </w:pPr>
  </w:style>
  <w:style w:type="paragraph" w:customStyle="1" w:styleId="CVNormal-FirstLine">
    <w:name w:val="CV Normal - First Line"/>
    <w:basedOn w:val="CVNormal"/>
    <w:next w:val="CVNormal"/>
    <w:rsid w:val="00C83DB1"/>
    <w:pPr>
      <w:spacing w:before="7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ittalia.it/images/file/Artigiani_del_welfare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strid-online.it/rassegna/02-09-2009/03_AstridRassegna_QR_Salvi.pdf" TargetMode="External"/><Relationship Id="rId5" Type="http://schemas.openxmlformats.org/officeDocument/2006/relationships/hyperlink" Target="http://www.osservatorioair.it/wp-content/uploads/2013/04/OssAIR_Salvi_Valutazione-BetterRegulation_P1-2013.pdf" TargetMode="External"/><Relationship Id="rId4" Type="http://schemas.openxmlformats.org/officeDocument/2006/relationships/hyperlink" Target="http://www.osservatorioair.it/wp-content/uploads/2014/03/OsservatorioAIR_BancaItalia_marzo2014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1165</Words>
  <Characters>6642</Characters>
  <Application>Microsoft Office Word</Application>
  <DocSecurity>0</DocSecurity>
  <Lines>55</Lines>
  <Paragraphs>15</Paragraphs>
  <ScaleCrop>false</ScaleCrop>
  <Company>Hewlett-Packard</Company>
  <LinksUpToDate>false</LinksUpToDate>
  <CharactersWithSpaces>7792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Siriana</dc:creator>
  <cp:lastModifiedBy>Siriana</cp:lastModifiedBy>
  <cp:revision>3</cp:revision>
  <dcterms:created xsi:type="dcterms:W3CDTF">2015-02-02T16:42:00Z</dcterms:created>
  <dcterms:modified xsi:type="dcterms:W3CDTF">2015-02-02T16:44:00Z</dcterms:modified>
</cp:coreProperties>
</file>